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583EF501" w14:textId="67FF7ECE" w:rsidR="00997F82" w:rsidRPr="00C13613" w:rsidRDefault="00A06A03" w:rsidP="00A06A03">
      <w:pPr>
        <w:spacing w:after="0" w:line="240" w:lineRule="auto"/>
        <w:jc w:val="center"/>
        <w:rPr>
          <w:rFonts w:ascii="Arial" w:eastAsia="Times New Roman" w:hAnsi="Arial" w:cs="Arial"/>
          <w:sz w:val="28"/>
          <w:szCs w:val="20"/>
        </w:rPr>
      </w:pPr>
      <w:r>
        <w:rPr>
          <w:rFonts w:ascii="Arial" w:eastAsia="Times New Roman" w:hAnsi="Arial" w:cs="Arial"/>
          <w:b/>
          <w:i/>
          <w:sz w:val="28"/>
          <w:szCs w:val="20"/>
        </w:rPr>
        <w:t xml:space="preserve">Občianske združenie </w:t>
      </w:r>
      <w:r w:rsidRPr="00A06A03">
        <w:rPr>
          <w:rFonts w:ascii="Arial" w:eastAsia="Times New Roman" w:hAnsi="Arial" w:cs="Arial"/>
          <w:b/>
          <w:i/>
          <w:sz w:val="28"/>
          <w:szCs w:val="20"/>
        </w:rPr>
        <w:t>MAS Sabinovsko</w:t>
      </w:r>
      <w:r>
        <w:rPr>
          <w:rFonts w:ascii="Arial" w:eastAsia="Times New Roman" w:hAnsi="Arial" w:cs="Arial"/>
          <w:b/>
          <w:i/>
          <w:sz w:val="28"/>
          <w:szCs w:val="20"/>
        </w:rPr>
        <w:t>, o.z.</w:t>
      </w: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B231C45"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w:t>
      </w:r>
      <w:r w:rsidRPr="00B01506">
        <w:rPr>
          <w:rFonts w:ascii="Arial" w:eastAsia="Times New Roman" w:hAnsi="Arial" w:cs="Arial"/>
          <w:sz w:val="28"/>
          <w:szCs w:val="20"/>
        </w:rPr>
        <w:t>CLLD-</w:t>
      </w:r>
      <w:r w:rsidR="00F45DD1" w:rsidRPr="00B01506">
        <w:rPr>
          <w:rFonts w:ascii="Arial" w:eastAsia="Times New Roman" w:hAnsi="Arial" w:cs="Arial"/>
          <w:sz w:val="28"/>
          <w:szCs w:val="20"/>
        </w:rPr>
        <w:t>X371</w:t>
      </w:r>
      <w:r w:rsidRPr="00B01506">
        <w:rPr>
          <w:rFonts w:ascii="Arial" w:eastAsia="Times New Roman" w:hAnsi="Arial" w:cs="Arial"/>
          <w:sz w:val="28"/>
          <w:szCs w:val="20"/>
        </w:rPr>
        <w:t>-</w:t>
      </w:r>
      <w:r w:rsidR="00A06A03" w:rsidRPr="00B01506">
        <w:rPr>
          <w:rFonts w:ascii="Arial" w:eastAsia="Times New Roman" w:hAnsi="Arial" w:cs="Arial"/>
          <w:sz w:val="28"/>
          <w:szCs w:val="20"/>
        </w:rPr>
        <w:t>511</w:t>
      </w:r>
      <w:r w:rsidRPr="00B01506">
        <w:rPr>
          <w:rFonts w:ascii="Arial" w:eastAsia="Times New Roman" w:hAnsi="Arial" w:cs="Arial"/>
          <w:sz w:val="28"/>
          <w:szCs w:val="20"/>
        </w:rPr>
        <w:t>-</w:t>
      </w:r>
      <w:r w:rsidR="00A06A03">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B9B079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A06A03">
            <w:rPr>
              <w:rFonts w:ascii="Arial" w:hAnsi="Arial" w:cs="Arial"/>
              <w:b/>
              <w:sz w:val="22"/>
            </w:rPr>
            <w:t>5.1.1 Zvýšenie zamestnanosti na miestnej úrovni podporou podnikania a inovácií</w:t>
          </w:r>
        </w:sdtContent>
      </w:sdt>
    </w:p>
    <w:p w14:paraId="266737C6" w14:textId="375A74B2"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06A03">
            <w:rPr>
              <w:rFonts w:ascii="Arial" w:hAnsi="Arial" w:cs="Arial"/>
              <w:sz w:val="22"/>
            </w:rPr>
            <w:t>A1 Podpora podnikania a inovácií</w:t>
          </w:r>
        </w:sdtContent>
      </w:sdt>
    </w:p>
    <w:p w14:paraId="60D37D52" w14:textId="1F39F1D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06A03">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76947E7" w:rsidR="00997F82" w:rsidRPr="00A06A03" w:rsidRDefault="00997F82" w:rsidP="00DD3EE2">
      <w:pPr>
        <w:tabs>
          <w:tab w:val="left" w:pos="1418"/>
        </w:tabs>
        <w:spacing w:before="120" w:after="120" w:line="240" w:lineRule="auto"/>
        <w:ind w:left="1418" w:hanging="1418"/>
        <w:rPr>
          <w:rFonts w:ascii="Arial" w:hAnsi="Arial" w:cs="Arial"/>
          <w:b/>
          <w:color w:val="44546A" w:themeColor="text2"/>
          <w:szCs w:val="19"/>
        </w:rPr>
      </w:pPr>
      <w:r w:rsidRPr="00B50BAE">
        <w:rPr>
          <w:rFonts w:ascii="Arial" w:hAnsi="Arial" w:cs="Arial"/>
          <w:sz w:val="22"/>
        </w:rPr>
        <w:t>Názov:</w:t>
      </w:r>
      <w:r>
        <w:rPr>
          <w:rFonts w:ascii="Arial" w:hAnsi="Arial" w:cs="Arial"/>
          <w:sz w:val="22"/>
        </w:rPr>
        <w:tab/>
      </w:r>
      <w:r w:rsidR="00A06A03" w:rsidRPr="00A06A03">
        <w:rPr>
          <w:rFonts w:ascii="Arial" w:hAnsi="Arial" w:cs="Arial"/>
          <w:b/>
          <w:color w:val="44546A" w:themeColor="text2"/>
          <w:szCs w:val="19"/>
        </w:rPr>
        <w:t>Občianske združenie MAS Sabinovsko, o.z.</w:t>
      </w:r>
    </w:p>
    <w:p w14:paraId="641C0D11" w14:textId="5F63A599" w:rsidR="00A06A03" w:rsidRDefault="00997F82" w:rsidP="00A06A03">
      <w:pPr>
        <w:tabs>
          <w:tab w:val="left" w:pos="1418"/>
        </w:tabs>
        <w:spacing w:before="120" w:after="120" w:line="240" w:lineRule="auto"/>
        <w:rPr>
          <w:rFonts w:ascii="Arial" w:hAnsi="Arial" w:cs="Arial"/>
          <w:b/>
          <w:color w:val="44546A" w:themeColor="text2"/>
          <w:szCs w:val="19"/>
        </w:rPr>
      </w:pPr>
      <w:r w:rsidRPr="00B50BAE">
        <w:rPr>
          <w:rFonts w:ascii="Arial" w:hAnsi="Arial" w:cs="Arial"/>
          <w:sz w:val="22"/>
        </w:rPr>
        <w:t>Sídlo:</w:t>
      </w:r>
      <w:r w:rsidRPr="00B50BAE">
        <w:rPr>
          <w:rFonts w:ascii="Arial" w:hAnsi="Arial" w:cs="Arial"/>
          <w:sz w:val="22"/>
        </w:rPr>
        <w:tab/>
      </w:r>
      <w:r w:rsidR="00A06A03" w:rsidRPr="00A06A03">
        <w:rPr>
          <w:rFonts w:ascii="Arial" w:hAnsi="Arial" w:cs="Arial"/>
          <w:b/>
          <w:color w:val="44546A" w:themeColor="text2"/>
          <w:szCs w:val="19"/>
        </w:rPr>
        <w:t xml:space="preserve">Námestie slobody </w:t>
      </w:r>
      <w:r w:rsidR="00A06A03">
        <w:rPr>
          <w:rFonts w:ascii="Arial" w:hAnsi="Arial" w:cs="Arial"/>
          <w:b/>
          <w:color w:val="44546A" w:themeColor="text2"/>
          <w:szCs w:val="19"/>
        </w:rPr>
        <w:t xml:space="preserve">57, 083 01 </w:t>
      </w:r>
      <w:r w:rsidR="00A06A03" w:rsidRPr="00A06A03">
        <w:rPr>
          <w:rFonts w:ascii="Arial" w:hAnsi="Arial" w:cs="Arial"/>
          <w:b/>
          <w:color w:val="44546A" w:themeColor="text2"/>
          <w:szCs w:val="19"/>
        </w:rPr>
        <w:t>Sabinov</w:t>
      </w:r>
    </w:p>
    <w:p w14:paraId="158C8A18" w14:textId="77777777" w:rsidR="00A06A03" w:rsidRPr="009B3DD7" w:rsidRDefault="00A06A03" w:rsidP="00A06A03">
      <w:pPr>
        <w:numPr>
          <w:ilvl w:val="1"/>
          <w:numId w:val="1"/>
        </w:numPr>
        <w:spacing w:before="480" w:after="240" w:line="240" w:lineRule="auto"/>
        <w:ind w:hanging="650"/>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61DFE1E6" w14:textId="4DFDA344" w:rsidR="00424BB9" w:rsidRPr="00424BB9" w:rsidRDefault="00997F82" w:rsidP="00424BB9">
      <w:pPr>
        <w:pStyle w:val="Textkomentra"/>
        <w:rPr>
          <w:color w:val="FF0000"/>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5-14T00:00:00Z">
            <w:dateFormat w:val="d. M. yyyy"/>
            <w:lid w:val="sk-SK"/>
            <w:storeMappedDataAs w:val="dateTime"/>
            <w:calendar w:val="gregorian"/>
          </w:date>
        </w:sdtPr>
        <w:sdtEndPr/>
        <w:sdtContent>
          <w:r w:rsidR="00C22A3D">
            <w:rPr>
              <w:rFonts w:ascii="Arial" w:hAnsi="Arial" w:cs="Arial"/>
              <w:sz w:val="22"/>
            </w:rPr>
            <w:t>14. 5. 2021</w:t>
          </w:r>
        </w:sdtContent>
      </w:sdt>
      <w:r w:rsidR="00424BB9" w:rsidRPr="00424BB9">
        <w:t xml:space="preserve"> </w:t>
      </w:r>
    </w:p>
    <w:p w14:paraId="135C335A" w14:textId="64EA2B2A" w:rsidR="00997F82" w:rsidRPr="009B3DD7" w:rsidRDefault="00997F82" w:rsidP="00DD3EE2">
      <w:pPr>
        <w:tabs>
          <w:tab w:val="left" w:pos="1985"/>
        </w:tabs>
        <w:spacing w:before="240" w:after="120" w:line="240" w:lineRule="auto"/>
        <w:ind w:left="1985" w:hanging="1985"/>
        <w:rPr>
          <w:rFonts w:ascii="Arial" w:hAnsi="Arial" w:cs="Arial"/>
          <w:sz w:val="22"/>
        </w:rPr>
      </w:pPr>
    </w:p>
    <w:p w14:paraId="532ABE8D" w14:textId="3709658B"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A6C2A" w:rsidRPr="00381BB6">
          <w:rPr>
            <w:rStyle w:val="Hypertextovprepojenie"/>
            <w:rFonts w:cs="Arial"/>
            <w:sz w:val="22"/>
          </w:rPr>
          <w:t>http://massabinovsko.sk/</w:t>
        </w:r>
      </w:hyperlink>
      <w:r w:rsidR="007A6C2A">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A06A03">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1A3FA354"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67213">
        <w:rPr>
          <w:rFonts w:ascii="Arial" w:hAnsi="Arial" w:cs="Arial"/>
          <w:b/>
          <w:sz w:val="22"/>
        </w:rPr>
        <w:t>336 422,00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A06A03">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3FA6F4F"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67213">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67213">
        <w:rPr>
          <w:rFonts w:ascii="Arial" w:hAnsi="Arial" w:cs="Arial"/>
          <w:sz w:val="22"/>
        </w:rPr>
        <w:t>45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5F72AA6E"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A06A03">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6D47AD60" w14:textId="3E845B16" w:rsidR="00997F82" w:rsidRPr="00CF2199" w:rsidRDefault="004F52D8" w:rsidP="00016DEA">
            <w:pPr>
              <w:spacing w:before="60" w:after="60" w:line="240" w:lineRule="auto"/>
              <w:jc w:val="center"/>
              <w:outlineLvl w:val="0"/>
              <w:rPr>
                <w:rFonts w:ascii="Arial" w:hAnsi="Arial" w:cs="Arial"/>
                <w:sz w:val="20"/>
                <w:szCs w:val="20"/>
              </w:rPr>
            </w:pPr>
            <w:r>
              <w:rPr>
                <w:rFonts w:ascii="Arial" w:hAnsi="Arial" w:cs="Arial"/>
                <w:sz w:val="20"/>
                <w:szCs w:val="20"/>
              </w:rPr>
              <w:t>30</w:t>
            </w:r>
            <w:r w:rsidR="00997F82" w:rsidRPr="00CF2199">
              <w:rPr>
                <w:rFonts w:ascii="Arial" w:hAnsi="Arial" w:cs="Arial"/>
                <w:sz w:val="20"/>
                <w:szCs w:val="20"/>
              </w:rPr>
              <w:t>.</w:t>
            </w:r>
            <w:r w:rsidR="007C360D" w:rsidRPr="00CF2199">
              <w:rPr>
                <w:rFonts w:ascii="Arial" w:hAnsi="Arial" w:cs="Arial"/>
                <w:sz w:val="20"/>
                <w:szCs w:val="20"/>
              </w:rPr>
              <w:t xml:space="preserve"> </w:t>
            </w:r>
            <w:r>
              <w:rPr>
                <w:rFonts w:ascii="Arial" w:hAnsi="Arial" w:cs="Arial"/>
                <w:sz w:val="20"/>
                <w:szCs w:val="20"/>
              </w:rPr>
              <w:t>7</w:t>
            </w:r>
            <w:r w:rsidR="00997F82" w:rsidRPr="00CF2199">
              <w:rPr>
                <w:rFonts w:ascii="Arial" w:hAnsi="Arial" w:cs="Arial"/>
                <w:sz w:val="20"/>
                <w:szCs w:val="20"/>
              </w:rPr>
              <w:t>.</w:t>
            </w:r>
            <w:r w:rsidR="007C360D" w:rsidRPr="00CF2199">
              <w:rPr>
                <w:rFonts w:ascii="Arial" w:hAnsi="Arial" w:cs="Arial"/>
                <w:sz w:val="20"/>
                <w:szCs w:val="20"/>
              </w:rPr>
              <w:t xml:space="preserve"> 2021</w:t>
            </w:r>
          </w:p>
          <w:p w14:paraId="71B31EE8" w14:textId="758BBF74" w:rsidR="00CF2199" w:rsidRPr="00CF2199" w:rsidRDefault="00CF2199" w:rsidP="00016DEA">
            <w:pPr>
              <w:spacing w:before="60" w:after="60" w:line="240" w:lineRule="auto"/>
              <w:jc w:val="center"/>
              <w:outlineLvl w:val="0"/>
              <w:rPr>
                <w:rFonts w:ascii="Arial" w:hAnsi="Arial" w:cs="Arial"/>
                <w:color w:val="FF0000"/>
                <w:sz w:val="20"/>
                <w:szCs w:val="20"/>
              </w:rPr>
            </w:pPr>
          </w:p>
        </w:tc>
        <w:tc>
          <w:tcPr>
            <w:tcW w:w="3070" w:type="dxa"/>
            <w:vAlign w:val="center"/>
          </w:tcPr>
          <w:p w14:paraId="47BF6482" w14:textId="153D8E60" w:rsidR="00997F82" w:rsidRPr="00CF2199" w:rsidRDefault="004F52D8" w:rsidP="00016DEA">
            <w:pPr>
              <w:spacing w:before="60" w:after="60" w:line="240" w:lineRule="auto"/>
              <w:jc w:val="center"/>
              <w:outlineLvl w:val="0"/>
              <w:rPr>
                <w:rFonts w:ascii="Arial" w:hAnsi="Arial" w:cs="Arial"/>
                <w:sz w:val="20"/>
                <w:szCs w:val="20"/>
              </w:rPr>
            </w:pPr>
            <w:r>
              <w:rPr>
                <w:rFonts w:ascii="Arial" w:hAnsi="Arial" w:cs="Arial"/>
                <w:sz w:val="20"/>
                <w:szCs w:val="20"/>
              </w:rPr>
              <w:t>30</w:t>
            </w:r>
            <w:r w:rsidR="00997F82" w:rsidRPr="00CF2199">
              <w:rPr>
                <w:rFonts w:ascii="Arial" w:hAnsi="Arial" w:cs="Arial"/>
                <w:sz w:val="20"/>
                <w:szCs w:val="20"/>
              </w:rPr>
              <w:t>.</w:t>
            </w:r>
            <w:r w:rsidR="007C360D" w:rsidRPr="00CF2199">
              <w:rPr>
                <w:rFonts w:ascii="Arial" w:hAnsi="Arial" w:cs="Arial"/>
                <w:sz w:val="20"/>
                <w:szCs w:val="20"/>
              </w:rPr>
              <w:t xml:space="preserve"> </w:t>
            </w:r>
            <w:r w:rsidR="00C506DD" w:rsidRPr="00CF2199">
              <w:rPr>
                <w:rFonts w:ascii="Arial" w:hAnsi="Arial" w:cs="Arial"/>
                <w:sz w:val="20"/>
                <w:szCs w:val="20"/>
              </w:rPr>
              <w:t>9</w:t>
            </w:r>
            <w:r w:rsidR="00997F82" w:rsidRPr="00CF2199">
              <w:rPr>
                <w:rFonts w:ascii="Arial" w:hAnsi="Arial" w:cs="Arial"/>
                <w:sz w:val="20"/>
                <w:szCs w:val="20"/>
              </w:rPr>
              <w:t>.</w:t>
            </w:r>
            <w:r w:rsidR="007C360D" w:rsidRPr="00CF2199">
              <w:rPr>
                <w:rFonts w:ascii="Arial" w:hAnsi="Arial" w:cs="Arial"/>
                <w:sz w:val="20"/>
                <w:szCs w:val="20"/>
              </w:rPr>
              <w:t xml:space="preserve"> 2021</w:t>
            </w:r>
          </w:p>
          <w:p w14:paraId="7FB5A443" w14:textId="3C9E58D4" w:rsidR="00CF2199" w:rsidRPr="00CF2199" w:rsidRDefault="00CF2199" w:rsidP="00016DEA">
            <w:pPr>
              <w:spacing w:before="60" w:after="60" w:line="240" w:lineRule="auto"/>
              <w:jc w:val="center"/>
              <w:outlineLvl w:val="0"/>
              <w:rPr>
                <w:rFonts w:ascii="Arial" w:hAnsi="Arial" w:cs="Arial"/>
                <w:sz w:val="20"/>
                <w:szCs w:val="20"/>
              </w:rPr>
            </w:pPr>
          </w:p>
        </w:tc>
        <w:tc>
          <w:tcPr>
            <w:tcW w:w="3494" w:type="dxa"/>
          </w:tcPr>
          <w:p w14:paraId="766B9373" w14:textId="26C46C0E"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90058E">
              <w:rPr>
                <w:rFonts w:ascii="Arial" w:hAnsi="Arial" w:cs="Arial"/>
                <w:sz w:val="20"/>
                <w:szCs w:val="20"/>
              </w:rPr>
              <w:t>2</w:t>
            </w:r>
            <w:r>
              <w:rPr>
                <w:rFonts w:ascii="Arial" w:hAnsi="Arial" w:cs="Arial"/>
                <w:sz w:val="20"/>
                <w:szCs w:val="20"/>
              </w:rPr>
              <w:t xml:space="preserve"> mesiacov od predchádzajúceho hodnotiaceho kola a to vždy k</w:t>
            </w:r>
            <w:r w:rsidR="00BD780D">
              <w:rPr>
                <w:rFonts w:ascii="Arial" w:hAnsi="Arial" w:cs="Arial"/>
                <w:sz w:val="20"/>
                <w:szCs w:val="20"/>
              </w:rPr>
              <w:t>u</w:t>
            </w:r>
            <w:r>
              <w:rPr>
                <w:rFonts w:ascii="Arial" w:hAnsi="Arial" w:cs="Arial"/>
                <w:sz w:val="20"/>
                <w:szCs w:val="20"/>
              </w:rPr>
              <w:t> </w:t>
            </w:r>
            <w:r w:rsidR="0090058E">
              <w:rPr>
                <w:rFonts w:ascii="Arial" w:hAnsi="Arial" w:cs="Arial"/>
                <w:sz w:val="20"/>
                <w:szCs w:val="20"/>
              </w:rPr>
              <w:t>30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lastRenderedPageBreak/>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4BF333D3"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ŽoPr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3BA520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3C1863F9"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w:t>
            </w:r>
            <w:r w:rsidR="00AC4BBE">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EE0F7C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5B810F4F"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w:t>
            </w:r>
            <w:r w:rsidR="00C94378">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1352ABC"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 xml:space="preserve">MAS overí podmienku na základe </w:t>
            </w:r>
            <w:r w:rsidR="00236E5C">
              <w:rPr>
                <w:rFonts w:ascii="Arial" w:hAnsi="Arial" w:cs="Arial"/>
                <w:bCs/>
                <w:sz w:val="20"/>
                <w:szCs w:val="20"/>
              </w:rPr>
              <w:t xml:space="preserve">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1"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1"/>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Žiadateľovi, ktorým je právnická osoba, nemôže byť právoplatným rozsudkom uložený trest zákazu prijímať dotácie alebo subvencie, trest zákazu prijímať pomoc a podporu poskytovanú z fondov Európskej únie alebo </w:t>
            </w:r>
            <w:r w:rsidRPr="00863E72">
              <w:rPr>
                <w:rFonts w:ascii="Arial" w:hAnsi="Arial" w:cs="Arial"/>
                <w:bCs/>
                <w:sz w:val="20"/>
                <w:szCs w:val="20"/>
              </w:rPr>
              <w:lastRenderedPageBreak/>
              <w:t>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FBB5B2F"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 typ</w:t>
            </w:r>
            <w:r>
              <w:rPr>
                <w:rFonts w:ascii="Arial" w:hAnsi="Arial" w:cs="Arial"/>
                <w:bCs/>
                <w:sz w:val="20"/>
                <w:szCs w:val="20"/>
              </w:rPr>
              <w:t>om</w:t>
            </w:r>
            <w:r w:rsidR="00997F82" w:rsidRPr="00BE7B8E">
              <w:rPr>
                <w:rFonts w:ascii="Arial" w:hAnsi="Arial" w:cs="Arial"/>
                <w:bCs/>
                <w:sz w:val="20"/>
                <w:szCs w:val="20"/>
              </w:rPr>
              <w:t xml:space="preserve"> </w:t>
            </w:r>
            <w:r w:rsidRPr="00BE7B8E">
              <w:rPr>
                <w:rFonts w:ascii="Arial" w:hAnsi="Arial" w:cs="Arial"/>
                <w:bCs/>
                <w:sz w:val="20"/>
                <w:szCs w:val="20"/>
              </w:rPr>
              <w:t>oprávnen</w:t>
            </w:r>
            <w:r>
              <w:rPr>
                <w:rFonts w:ascii="Arial" w:hAnsi="Arial" w:cs="Arial"/>
                <w:bCs/>
                <w:sz w:val="20"/>
                <w:szCs w:val="20"/>
              </w:rPr>
              <w:t>ej</w:t>
            </w:r>
            <w:r w:rsidRPr="00BE7B8E">
              <w:rPr>
                <w:rFonts w:ascii="Arial" w:hAnsi="Arial" w:cs="Arial"/>
                <w:bCs/>
                <w:sz w:val="20"/>
                <w:szCs w:val="20"/>
              </w:rPr>
              <w:t xml:space="preserve"> aktiv</w:t>
            </w:r>
            <w:r>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Pr="00BE7B8E">
              <w:rPr>
                <w:rFonts w:ascii="Arial" w:hAnsi="Arial" w:cs="Arial"/>
                <w:bCs/>
                <w:sz w:val="20"/>
                <w:szCs w:val="20"/>
              </w:rPr>
              <w:t>kto</w:t>
            </w:r>
            <w:r>
              <w:rPr>
                <w:rFonts w:ascii="Arial" w:hAnsi="Arial" w:cs="Arial"/>
                <w:bCs/>
                <w:sz w:val="20"/>
                <w:szCs w:val="20"/>
              </w:rPr>
              <w:t>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49BF4EA3"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721C6">
                  <w:rPr>
                    <w:rFonts w:ascii="Arial" w:hAnsi="Arial" w:cs="Arial"/>
                    <w:sz w:val="22"/>
                  </w:rPr>
                  <w:t>A1 Podpora podnikania a inovácií</w:t>
                </w:r>
              </w:sdtContent>
            </w:sdt>
            <w:r w:rsidR="00156C68">
              <w:rPr>
                <w:rFonts w:ascii="Arial" w:hAnsi="Arial" w:cs="Arial"/>
                <w:sz w:val="22"/>
              </w:rPr>
              <w:t>.</w:t>
            </w:r>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0D6A0A2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w:t>
            </w:r>
            <w:r w:rsidR="004A2FB5">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10151EE"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3814F9">
              <w:rPr>
                <w:rFonts w:ascii="Arial" w:hAnsi="Arial" w:cs="Arial"/>
                <w:bCs/>
                <w:sz w:val="20"/>
                <w:szCs w:val="20"/>
              </w:rPr>
              <w:t>predložením ŽoPr na MAS</w:t>
            </w:r>
            <w:r>
              <w:rPr>
                <w:rFonts w:ascii="Arial" w:hAnsi="Arial" w:cs="Arial"/>
                <w:bCs/>
                <w:sz w:val="20"/>
                <w:szCs w:val="20"/>
              </w:rPr>
              <w:t>.</w:t>
            </w:r>
          </w:p>
          <w:p w14:paraId="3E390E2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6A63767F"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3814F9">
              <w:rPr>
                <w:rFonts w:ascii="Arial" w:hAnsi="Arial" w:cs="Arial"/>
                <w:bCs/>
                <w:sz w:val="20"/>
                <w:szCs w:val="20"/>
              </w:rPr>
              <w:t>predložením ŽoPr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0064EB23"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814F9">
              <w:rPr>
                <w:rFonts w:ascii="Arial" w:hAnsi="Arial" w:cs="Arial"/>
                <w:bCs/>
                <w:sz w:val="20"/>
                <w:szCs w:val="20"/>
              </w:rPr>
              <w:t>moment predloženia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0D04A72F"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Pr>
                <w:rFonts w:ascii="Arial" w:hAnsi="Arial" w:cs="Arial"/>
                <w:bCs/>
                <w:sz w:val="20"/>
                <w:szCs w:val="20"/>
              </w:rPr>
              <w:t>predložení ŽoPr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0502AB8A" w14:textId="22963F53"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w:t>
            </w:r>
            <w:r w:rsidR="003814F9">
              <w:rPr>
                <w:rFonts w:ascii="Arial" w:hAnsi="Arial" w:cs="Arial"/>
                <w:bCs/>
                <w:sz w:val="20"/>
                <w:szCs w:val="20"/>
              </w:rPr>
              <w:t>predložením ŽoPr na MAS</w:t>
            </w:r>
            <w:r w:rsidRPr="001F15D0">
              <w:rPr>
                <w:rFonts w:ascii="Arial" w:hAnsi="Arial" w:cs="Arial"/>
                <w:bCs/>
                <w:sz w:val="20"/>
                <w:szCs w:val="20"/>
              </w:rPr>
              <w:t>.</w:t>
            </w:r>
          </w:p>
          <w:bookmarkEnd w:id="2"/>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382921" w14:textId="13F1EC47" w:rsidR="00655F31"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655F31">
              <w:rPr>
                <w:rFonts w:ascii="Arial" w:hAnsi="Arial" w:cs="Arial"/>
                <w:bCs/>
                <w:sz w:val="20"/>
                <w:szCs w:val="20"/>
              </w:rPr>
              <w:t xml:space="preserve">, ktoré </w:t>
            </w:r>
            <w:r w:rsidR="008E7AA9">
              <w:rPr>
                <w:rFonts w:ascii="Arial" w:hAnsi="Arial" w:cs="Arial"/>
                <w:bCs/>
                <w:sz w:val="20"/>
                <w:szCs w:val="20"/>
              </w:rPr>
              <w:t xml:space="preserve"> sa nachádza v menej rozvinutom regióne a </w:t>
            </w:r>
            <w:r w:rsidR="00655F31">
              <w:rPr>
                <w:rFonts w:ascii="Arial" w:hAnsi="Arial" w:cs="Arial"/>
                <w:bCs/>
                <w:sz w:val="20"/>
                <w:szCs w:val="20"/>
              </w:rPr>
              <w:t>je tvorené katastrálnymi územiami nasledujúcich obcí:</w:t>
            </w:r>
          </w:p>
          <w:p w14:paraId="0040933A"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Sabinov</w:t>
            </w:r>
          </w:p>
          <w:p w14:paraId="38A38C99"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Drienica</w:t>
            </w:r>
          </w:p>
          <w:p w14:paraId="6341F9CB"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Červená Voda</w:t>
            </w:r>
          </w:p>
          <w:p w14:paraId="6D921DA5"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Jakovany</w:t>
            </w:r>
          </w:p>
          <w:p w14:paraId="4226C335"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Ľutina</w:t>
            </w:r>
          </w:p>
          <w:p w14:paraId="01147F36"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Olejníkov</w:t>
            </w:r>
          </w:p>
          <w:p w14:paraId="1D3D897F" w14:textId="7777777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Ražňany</w:t>
            </w:r>
          </w:p>
          <w:p w14:paraId="14F23444" w14:textId="0EB40760" w:rsidR="00997F82"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Šarišské Michaľany</w:t>
            </w:r>
          </w:p>
          <w:p w14:paraId="2B8BA03A" w14:textId="16675E57"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Jakubovany</w:t>
            </w:r>
          </w:p>
          <w:p w14:paraId="169AF1FF" w14:textId="2929F37B"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Šarišské Sokolovce</w:t>
            </w:r>
          </w:p>
          <w:p w14:paraId="496E75E6" w14:textId="62F59B82"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Bodovce</w:t>
            </w:r>
          </w:p>
          <w:p w14:paraId="035BB48E" w14:textId="31AF5441"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Uzovce</w:t>
            </w:r>
          </w:p>
          <w:p w14:paraId="2E40098C" w14:textId="4EED9105" w:rsidR="00655F31"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Hubošovce</w:t>
            </w:r>
          </w:p>
          <w:p w14:paraId="0AE15C3D" w14:textId="68814EEE" w:rsidR="00655F31" w:rsidRPr="001B037E" w:rsidRDefault="00655F31" w:rsidP="00D96D56">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Ratvaj</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ignorácii horizontálnej alebo vertikálnej rodovej segregácie pri </w:t>
            </w:r>
            <w:r w:rsidRPr="00536E5F">
              <w:rPr>
                <w:rFonts w:ascii="Arial" w:hAnsi="Arial" w:cs="Arial"/>
                <w:bCs/>
                <w:sz w:val="20"/>
                <w:szCs w:val="20"/>
              </w:rPr>
              <w:lastRenderedPageBreak/>
              <w:t>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C0AD15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B65FEC">
              <w:rPr>
                <w:rFonts w:ascii="Arial" w:hAnsi="Arial" w:cs="Arial"/>
                <w:bCs/>
                <w:sz w:val="20"/>
                <w:szCs w:val="20"/>
              </w:rPr>
              <w:t>1</w:t>
            </w:r>
            <w:r w:rsidR="00223DDA">
              <w:rPr>
                <w:rFonts w:ascii="Arial" w:hAnsi="Arial" w:cs="Arial"/>
                <w:bCs/>
                <w:sz w:val="20"/>
                <w:szCs w:val="20"/>
              </w:rPr>
              <w:t>8</w:t>
            </w:r>
            <w:r w:rsidRPr="00AC73D7">
              <w:rPr>
                <w:rFonts w:ascii="Arial" w:hAnsi="Arial" w:cs="Arial"/>
                <w:bCs/>
                <w:sz w:val="20"/>
                <w:szCs w:val="20"/>
              </w:rPr>
              <w:t xml:space="preserve">). </w:t>
            </w:r>
            <w:bookmarkStart w:id="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03E4EB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7D1F0F">
              <w:rPr>
                <w:rFonts w:ascii="Arial" w:hAnsi="Arial" w:cs="Arial"/>
                <w:bCs/>
                <w:sz w:val="20"/>
                <w:szCs w:val="20"/>
              </w:rPr>
              <w:t xml:space="preserve"> </w:t>
            </w:r>
            <w:r w:rsidR="007D1F0F" w:rsidRPr="00B26F6D">
              <w:rPr>
                <w:rFonts w:ascii="Arial" w:hAnsi="Arial" w:cs="Arial"/>
                <w:bCs/>
                <w:sz w:val="20"/>
                <w:szCs w:val="20"/>
              </w:rPr>
              <w:t>Oprávnené výdavky nesmú byť vynaložené (stavebné práce, tovary a</w:t>
            </w:r>
            <w:r w:rsidR="0048669C" w:rsidRPr="00B26F6D">
              <w:rPr>
                <w:rFonts w:ascii="Arial" w:hAnsi="Arial" w:cs="Arial"/>
                <w:bCs/>
                <w:sz w:val="20"/>
                <w:szCs w:val="20"/>
              </w:rPr>
              <w:t> </w:t>
            </w:r>
            <w:r w:rsidR="007D1F0F" w:rsidRPr="00B26F6D">
              <w:rPr>
                <w:rFonts w:ascii="Arial" w:hAnsi="Arial" w:cs="Arial"/>
                <w:bCs/>
                <w:sz w:val="20"/>
                <w:szCs w:val="20"/>
              </w:rPr>
              <w:t>služby</w:t>
            </w:r>
            <w:r w:rsidR="0048669C" w:rsidRPr="00B26F6D">
              <w:rPr>
                <w:rFonts w:ascii="Arial" w:hAnsi="Arial" w:cs="Arial"/>
                <w:bCs/>
                <w:sz w:val="20"/>
                <w:szCs w:val="20"/>
              </w:rPr>
              <w:t xml:space="preserve"> uhradené</w:t>
            </w:r>
            <w:r w:rsidR="007D1F0F" w:rsidRPr="00B26F6D">
              <w:rPr>
                <w:rFonts w:ascii="Arial" w:hAnsi="Arial" w:cs="Arial"/>
                <w:bCs/>
                <w:sz w:val="20"/>
                <w:szCs w:val="20"/>
              </w:rPr>
              <w:t>) po 30.</w:t>
            </w:r>
            <w:r w:rsidR="00EC7AEC">
              <w:rPr>
                <w:rFonts w:ascii="Arial" w:hAnsi="Arial" w:cs="Arial"/>
                <w:bCs/>
                <w:sz w:val="20"/>
                <w:szCs w:val="20"/>
              </w:rPr>
              <w:t>6.</w:t>
            </w:r>
            <w:r w:rsidR="007D1F0F" w:rsidRPr="00B26F6D">
              <w:rPr>
                <w:rFonts w:ascii="Arial" w:hAnsi="Arial" w:cs="Arial"/>
                <w:bCs/>
                <w:sz w:val="20"/>
                <w:szCs w:val="20"/>
              </w:rPr>
              <w:t>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90058E"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ŽoPr v prípadoch, kedy sa na hranici alokácie určenej výzvou nachádzajú dve alebo viaceré ŽoPr., a tým zabezpečiť, že v prípade nedostatku finančných </w:t>
            </w:r>
            <w:r>
              <w:rPr>
                <w:rFonts w:ascii="Arial" w:hAnsi="Arial" w:cs="Arial"/>
                <w:bCs/>
                <w:sz w:val="20"/>
                <w:szCs w:val="20"/>
              </w:rPr>
              <w:lastRenderedPageBreak/>
              <w:t>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6A94DD8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minimis z IROP v súlade so schémou pomoci, ktorá je dostupná na webovom sídle </w:t>
            </w:r>
            <w:hyperlink r:id="rId14" w:history="1">
              <w:r w:rsidR="00223DDA" w:rsidRPr="00E052ED">
                <w:rPr>
                  <w:rStyle w:val="Hypertextovprepojenie"/>
                  <w:rFonts w:cs="Arial"/>
                  <w:sz w:val="20"/>
                  <w:szCs w:val="20"/>
                </w:rPr>
                <w:t>https://www.mpsr.sk/schema-minimalnej-pomoci-na-podporu-mikro-a-malych-podnikov-schema-pomoci-de-minimis/1329-67-1329-13632/</w:t>
              </w:r>
            </w:hyperlink>
          </w:p>
          <w:p w14:paraId="2712D7EC" w14:textId="77777777" w:rsidR="00997F82" w:rsidRPr="00223DDA" w:rsidRDefault="00997F82" w:rsidP="00223DDA">
            <w:pPr>
              <w:spacing w:before="120" w:after="120" w:line="240" w:lineRule="auto"/>
              <w:ind w:right="85"/>
              <w:jc w:val="both"/>
              <w:rPr>
                <w:rFonts w:ascii="Arial" w:hAnsi="Arial" w:cs="Arial"/>
                <w:bCs/>
                <w:sz w:val="20"/>
                <w:szCs w:val="20"/>
              </w:rPr>
            </w:pPr>
            <w:r w:rsidRPr="00223DDA">
              <w:rPr>
                <w:rFonts w:ascii="Arial" w:hAnsi="Arial" w:cs="Arial"/>
                <w:bCs/>
                <w:sz w:val="20"/>
                <w:szCs w:val="20"/>
              </w:rPr>
              <w:t>Žiadateľ je povinný okrem podmienok poskytnutia príspevku definovaných touto výzvou spĺňať zároveň nasledovné podmienky poskytnutia pomoci vyplývajúce zo schémy pomoci:</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lastRenderedPageBreak/>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5"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B01506"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01506">
              <w:rPr>
                <w:rFonts w:ascii="Arial" w:hAnsi="Arial" w:cs="Arial"/>
                <w:b/>
                <w:sz w:val="20"/>
                <w:szCs w:val="20"/>
              </w:rPr>
              <w:lastRenderedPageBreak/>
              <w:t>Podmienka neporušenia zákazu nelegálneho zamestnávania štátneho príslušníka tretej krajiny</w:t>
            </w:r>
          </w:p>
        </w:tc>
      </w:tr>
      <w:tr w:rsidR="00997F82" w:rsidRPr="006A79F0" w14:paraId="0AFAF1F6" w14:textId="77777777" w:rsidTr="00687273">
        <w:tc>
          <w:tcPr>
            <w:tcW w:w="9776" w:type="dxa"/>
            <w:shd w:val="clear" w:color="auto" w:fill="auto"/>
          </w:tcPr>
          <w:p w14:paraId="7622B148" w14:textId="1A39DE36"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465C96">
            <w:pPr>
              <w:pStyle w:val="Odsekzoznamu"/>
              <w:keepNext/>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000810B5" w14:textId="41D39610" w:rsidR="00715D4A"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5D9AF98C" w14:textId="038E2AAE" w:rsidR="00997F82" w:rsidRPr="00A047C9" w:rsidRDefault="0090058E"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7"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32401FAA"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EF6638">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110B2662"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ED6D9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671CC6">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t>Podmienka mať povolenia na realizáciu aktivít projektu</w:t>
            </w:r>
            <w:bookmarkEnd w:id="4"/>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CF83F0E" w:rsidR="00997F82" w:rsidRPr="00064EDD" w:rsidRDefault="00997F82" w:rsidP="00064ED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w:t>
            </w:r>
            <w:r w:rsidRPr="00064EDD">
              <w:rPr>
                <w:rFonts w:ascii="Arial" w:hAnsi="Arial" w:cs="Arial"/>
                <w:b/>
                <w:sz w:val="20"/>
                <w:szCs w:val="20"/>
              </w:rPr>
              <w:t>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EBFBFB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0090058E">
              <w:rPr>
                <w:rFonts w:ascii="Arial" w:hAnsi="Arial" w:cs="Arial"/>
                <w:sz w:val="20"/>
                <w:szCs w:val="20"/>
                <w:lang w:eastAsia="en-US"/>
              </w:rPr>
              <w:t>14</w:t>
            </w:r>
            <w:r w:rsidRPr="00003CBA">
              <w:rPr>
                <w:rFonts w:ascii="Arial" w:hAnsi="Arial" w:cs="Arial"/>
                <w:sz w:val="20"/>
                <w:szCs w:val="20"/>
                <w:lang w:eastAsia="en-US"/>
              </w:rPr>
              <w:fldChar w:fldCharType="end"/>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3E0101D3"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714DB">
              <w:rPr>
                <w:rFonts w:ascii="Arial" w:hAnsi="Arial" w:cs="Arial"/>
                <w:bCs/>
                <w:sz w:val="20"/>
                <w:szCs w:val="20"/>
              </w:rPr>
              <w:t>10 000,00</w:t>
            </w:r>
            <w:r>
              <w:rPr>
                <w:rFonts w:ascii="Arial" w:hAnsi="Arial" w:cs="Arial"/>
                <w:bCs/>
                <w:sz w:val="20"/>
                <w:szCs w:val="20"/>
              </w:rPr>
              <w:t xml:space="preserve"> EUR</w:t>
            </w:r>
          </w:p>
          <w:p w14:paraId="582FBBB1" w14:textId="59E3927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714DB">
              <w:rPr>
                <w:rFonts w:ascii="Arial" w:hAnsi="Arial" w:cs="Arial"/>
                <w:bCs/>
                <w:sz w:val="20"/>
                <w:szCs w:val="20"/>
              </w:rPr>
              <w:t xml:space="preserve">100 000,00 </w:t>
            </w:r>
            <w:r>
              <w:rPr>
                <w:rFonts w:ascii="Arial" w:hAnsi="Arial" w:cs="Arial"/>
                <w:bCs/>
                <w:sz w:val="20"/>
                <w:szCs w:val="20"/>
              </w:rPr>
              <w:t xml:space="preserve">EUR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w:t>
            </w:r>
            <w:r w:rsidRPr="006D5385">
              <w:rPr>
                <w:rFonts w:ascii="Arial" w:hAnsi="Arial" w:cs="Arial"/>
                <w:bCs/>
                <w:sz w:val="20"/>
                <w:szCs w:val="20"/>
              </w:rPr>
              <w:lastRenderedPageBreak/>
              <w:t>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1D853398"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9714DB">
              <w:rPr>
                <w:rFonts w:ascii="Arial" w:hAnsi="Arial" w:cs="Arial"/>
                <w:b/>
                <w:bCs/>
                <w:sz w:val="20"/>
                <w:szCs w:val="20"/>
              </w:rPr>
              <w:t xml:space="preserve">100 000,00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690A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B26F6D">
              <w:rPr>
                <w:rFonts w:ascii="Arial" w:hAnsi="Arial" w:cs="Arial"/>
                <w:bCs/>
                <w:sz w:val="20"/>
                <w:szCs w:val="20"/>
              </w:rPr>
              <w:t xml:space="preserve"> Zároveň je žiadateľ povinný zrealizovať hlavnú aktivitu projektu najneskôr do 30.6.2023.</w:t>
            </w:r>
            <w:r w:rsidR="00726901">
              <w:rPr>
                <w:rStyle w:val="Odkaznapoznmkupodiarou"/>
                <w:rFonts w:ascii="Arial" w:hAnsi="Arial" w:cs="Arial"/>
                <w:bCs/>
                <w:sz w:val="20"/>
                <w:szCs w:val="20"/>
              </w:rPr>
              <w:footnoteReference w:id="3"/>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C5E14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6"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r w:rsidR="00B26F6D">
              <w:rPr>
                <w:rFonts w:ascii="Arial" w:hAnsi="Arial" w:cs="Arial"/>
                <w:bCs/>
                <w:sz w:val="20"/>
                <w:szCs w:val="20"/>
              </w:rPr>
              <w:t xml:space="preserve"> a zároveň najneskôr do 30.6.2023.</w:t>
            </w:r>
          </w:p>
          <w:bookmarkEnd w:id="6"/>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8D3385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EF28A6">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5392A59A"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3BE7E4DB" w14:textId="77777777" w:rsidR="00FB0090" w:rsidRDefault="00FB0090" w:rsidP="00066F24">
            <w:pPr>
              <w:spacing w:after="120" w:line="240" w:lineRule="auto"/>
              <w:ind w:left="85" w:right="85"/>
              <w:jc w:val="both"/>
              <w:rPr>
                <w:rFonts w:ascii="Arial" w:hAnsi="Arial" w:cs="Arial"/>
                <w:bCs/>
                <w:sz w:val="20"/>
                <w:szCs w:val="20"/>
              </w:rPr>
            </w:pPr>
          </w:p>
          <w:p w14:paraId="4A4377AE" w14:textId="77777777" w:rsidR="00FB0090" w:rsidRDefault="00FB0090" w:rsidP="00FB0090">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19532B0D" w14:textId="77777777" w:rsidR="00FB0090" w:rsidRPr="002C3A60" w:rsidRDefault="00FB0090" w:rsidP="00FB009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26A74739" w14:textId="77777777" w:rsidR="00FB0090" w:rsidRDefault="00FB0090" w:rsidP="00FB009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0B96E313" w14:textId="77777777" w:rsidR="00FB0090" w:rsidRDefault="00FB0090" w:rsidP="00FB0090">
            <w:pPr>
              <w:spacing w:after="120" w:line="240" w:lineRule="auto"/>
              <w:ind w:left="85" w:right="85"/>
              <w:jc w:val="both"/>
              <w:rPr>
                <w:rFonts w:ascii="Arial" w:hAnsi="Arial" w:cs="Arial"/>
                <w:bCs/>
                <w:sz w:val="20"/>
                <w:szCs w:val="20"/>
              </w:rPr>
            </w:pPr>
          </w:p>
          <w:p w14:paraId="36920960" w14:textId="77777777" w:rsidR="00FB0090" w:rsidRPr="00F5202D" w:rsidRDefault="00FB0090" w:rsidP="00FB0090">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1B7E6791" w14:textId="77777777" w:rsidR="00FB0090" w:rsidRPr="002C3A60" w:rsidRDefault="00FB0090" w:rsidP="00FB009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5B57E849" w14:textId="77777777" w:rsidR="00FB0090" w:rsidRDefault="00FB0090" w:rsidP="00FB009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567724B7"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7385EAE5" w14:textId="77777777" w:rsidR="00FB0090" w:rsidRPr="002C3A60" w:rsidRDefault="00FB0090" w:rsidP="00066F24">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DDE1A99" w:rsidR="00997F82" w:rsidRPr="002C3A60" w:rsidRDefault="006819D2" w:rsidP="00AE11DC">
            <w:pPr>
              <w:pStyle w:val="Odsekzoznamu"/>
              <w:keepNext/>
              <w:numPr>
                <w:ilvl w:val="1"/>
                <w:numId w:val="23"/>
              </w:numPr>
              <w:spacing w:before="120" w:after="120" w:line="240" w:lineRule="auto"/>
              <w:jc w:val="both"/>
              <w:rPr>
                <w:rFonts w:ascii="Arial" w:hAnsi="Arial" w:cs="Arial"/>
                <w:b/>
                <w:color w:val="44546A" w:themeColor="text2"/>
                <w:szCs w:val="19"/>
              </w:rPr>
            </w:pPr>
            <w:r>
              <w:rPr>
                <w:rFonts w:ascii="Arial" w:hAnsi="Arial" w:cs="Arial"/>
                <w:b/>
                <w:color w:val="44546A" w:themeColor="text2"/>
                <w:szCs w:val="19"/>
              </w:rPr>
              <w:lastRenderedPageBreak/>
              <w:t xml:space="preserve">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3E608A52"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5A563F2"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203335">
              <w:rPr>
                <w:rFonts w:ascii="Arial" w:hAnsi="Arial" w:cs="Arial"/>
                <w:bCs/>
                <w:sz w:val="20"/>
                <w:szCs w:val="20"/>
              </w:rPr>
              <w:t xml:space="preserve">6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0C25C2">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predložením ŽoPr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0"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 xml:space="preserve">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w:t>
            </w:r>
            <w:r>
              <w:rPr>
                <w:rFonts w:ascii="Arial" w:hAnsi="Arial" w:cs="Arial"/>
                <w:bCs/>
                <w:sz w:val="20"/>
                <w:szCs w:val="20"/>
              </w:rPr>
              <w:lastRenderedPageBreak/>
              <w:t>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1"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95442DD" w14:textId="0B5239C5" w:rsidR="00D05CF5" w:rsidRDefault="00D05CF5" w:rsidP="00065CC5">
            <w:pPr>
              <w:pStyle w:val="Default"/>
              <w:ind w:left="25"/>
              <w:jc w:val="both"/>
              <w:rPr>
                <w:bCs/>
                <w:szCs w:val="20"/>
              </w:rPr>
            </w:pPr>
          </w:p>
          <w:p w14:paraId="701EDDBF" w14:textId="770D23A9" w:rsidR="00997F82" w:rsidRDefault="00D05CF5" w:rsidP="00065CC5">
            <w:pPr>
              <w:pStyle w:val="Default"/>
              <w:ind w:left="25"/>
              <w:jc w:val="both"/>
              <w:rPr>
                <w:bCs/>
                <w:szCs w:val="20"/>
              </w:rPr>
            </w:pPr>
            <w:r>
              <w:rPr>
                <w:bCs/>
                <w:szCs w:val="20"/>
              </w:rPr>
              <w:lastRenderedPageBreak/>
              <w:t xml:space="preserve">MAS overí údaje uvedené v prílohe na základe údajov účtovnej závierky dostupnej na </w:t>
            </w:r>
            <w:hyperlink r:id="rId22"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ABC3134" w14:textId="086ABDAE" w:rsidR="00F5202D"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5702C19"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FF98961"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na dobu určitú, ktorá zahŕňa minimálne obdobie od začatia prác na projekte do uplynutia obdobia udržateľnosti projektu, t.</w:t>
            </w:r>
            <w:r w:rsidR="00297683">
              <w:rPr>
                <w:rFonts w:ascii="Arial" w:hAnsi="Arial" w:cs="Arial"/>
                <w:bCs/>
                <w:sz w:val="20"/>
                <w:szCs w:val="20"/>
              </w:rPr>
              <w:t xml:space="preserve"> </w:t>
            </w:r>
            <w:r w:rsidRPr="00D01EF0">
              <w:rPr>
                <w:rFonts w:ascii="Arial" w:hAnsi="Arial" w:cs="Arial"/>
                <w:bCs/>
                <w:sz w:val="20"/>
                <w:szCs w:val="20"/>
              </w:rPr>
              <w:t xml:space="preserve">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3"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w:t>
            </w:r>
            <w:r w:rsidRPr="00D01EF0">
              <w:rPr>
                <w:rFonts w:ascii="Arial" w:hAnsi="Arial" w:cs="Arial"/>
                <w:bCs/>
                <w:sz w:val="20"/>
                <w:szCs w:val="20"/>
              </w:rPr>
              <w:lastRenderedPageBreak/>
              <w:t>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lastRenderedPageBreak/>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V rámci tejto prílohy ŽoPr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14:paraId="188EBB2A" w14:textId="12DEBDAC"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w:t>
            </w:r>
            <w:proofErr w:type="spellStart"/>
            <w:r w:rsidRPr="006F5281">
              <w:rPr>
                <w:rFonts w:ascii="Arial" w:hAnsi="Arial" w:cs="Arial"/>
                <w:bCs/>
                <w:sz w:val="20"/>
                <w:szCs w:val="20"/>
              </w:rPr>
              <w:t>t.j</w:t>
            </w:r>
            <w:proofErr w:type="spellEnd"/>
            <w:r w:rsidRPr="006F5281">
              <w:rPr>
                <w:rFonts w:ascii="Arial" w:hAnsi="Arial" w:cs="Arial"/>
                <w:bCs/>
                <w:sz w:val="20"/>
                <w:szCs w:val="20"/>
              </w:rPr>
              <w:t>. vyjadrenie 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6EF0A015" w14:textId="77777777" w:rsidR="007D58CE" w:rsidRDefault="007D58CE" w:rsidP="004B6729">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p w14:paraId="36AEF394" w14:textId="3659BCFC" w:rsidR="00CB08D8" w:rsidRPr="00D01EF0" w:rsidRDefault="00CB08D8" w:rsidP="006F5281">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 xml:space="preserve">obsahovať identifikáciu navrhovanej </w:t>
            </w:r>
            <w:r w:rsidRPr="005C5863">
              <w:rPr>
                <w:rFonts w:ascii="Arial" w:hAnsi="Arial" w:cs="Arial"/>
                <w:bCs/>
                <w:sz w:val="20"/>
                <w:szCs w:val="20"/>
              </w:rPr>
              <w:lastRenderedPageBreak/>
              <w:t>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5520DA39"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 xml:space="preserve">ŽoPr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10E6713E" w14:textId="77777777" w:rsidR="00B01738" w:rsidRDefault="00B01738"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MAS Sabinovsko, o.z.</w:t>
      </w:r>
    </w:p>
    <w:p w14:paraId="621381BD" w14:textId="77777777" w:rsidR="00B01738" w:rsidRDefault="00B01738"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Námestie slobody 57</w:t>
      </w:r>
    </w:p>
    <w:p w14:paraId="7DC133EF" w14:textId="5D9BC4FA" w:rsidR="00B01738" w:rsidRDefault="00B01738"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083 01 Sabinov</w:t>
      </w:r>
      <w:r w:rsidR="00A45A91">
        <w:rPr>
          <w:rFonts w:ascii="Arial" w:hAnsi="Arial" w:cs="Arial"/>
          <w:sz w:val="20"/>
          <w:szCs w:val="20"/>
        </w:rPr>
        <w:t>.</w:t>
      </w:r>
    </w:p>
    <w:p w14:paraId="4FEF1886" w14:textId="77777777" w:rsidR="00B01738" w:rsidRDefault="00B01738" w:rsidP="00C04A44">
      <w:pPr>
        <w:tabs>
          <w:tab w:val="left" w:pos="426"/>
        </w:tabs>
        <w:spacing w:before="120" w:after="120" w:line="240" w:lineRule="auto"/>
        <w:jc w:val="both"/>
        <w:rPr>
          <w:rFonts w:ascii="Arial" w:hAnsi="Arial" w:cs="Arial"/>
          <w:sz w:val="20"/>
          <w:szCs w:val="20"/>
        </w:rPr>
      </w:pPr>
    </w:p>
    <w:p w14:paraId="63538579" w14:textId="325E5EF9" w:rsidR="00997F82" w:rsidRPr="00FF19C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w:t>
      </w:r>
      <w:r w:rsidRPr="00FF19C2">
        <w:rPr>
          <w:rFonts w:ascii="Arial" w:hAnsi="Arial" w:cs="Arial"/>
          <w:sz w:val="20"/>
          <w:szCs w:val="20"/>
        </w:rPr>
        <w:t xml:space="preserve">vyššie uvedenú adresu jedným z nasledovných spôsobov: </w:t>
      </w:r>
    </w:p>
    <w:p w14:paraId="163462AE" w14:textId="78145B39" w:rsidR="00997F82" w:rsidRPr="00FF19C2"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FF19C2">
        <w:rPr>
          <w:rFonts w:ascii="Arial" w:hAnsi="Arial" w:cs="Arial"/>
          <w:sz w:val="20"/>
          <w:szCs w:val="20"/>
        </w:rPr>
        <w:t xml:space="preserve">osobne </w:t>
      </w:r>
      <w:r w:rsidR="00B01738" w:rsidRPr="00FF19C2">
        <w:rPr>
          <w:rFonts w:ascii="Arial" w:hAnsi="Arial" w:cs="Arial"/>
          <w:sz w:val="20"/>
          <w:szCs w:val="20"/>
        </w:rPr>
        <w:t>(počas pracovných dní v čase 8:00 – 16:00 po predchádzajúcej telefonickej dohode a pri dodržaní platných opatrení v súvislosti s pandémiou COVID-19</w:t>
      </w:r>
      <w:r w:rsidRPr="00FF19C2">
        <w:rPr>
          <w:rFonts w:ascii="Arial" w:hAnsi="Arial" w:cs="Arial"/>
          <w:sz w:val="20"/>
          <w:szCs w:val="20"/>
        </w:rPr>
        <w:t>),</w:t>
      </w:r>
    </w:p>
    <w:p w14:paraId="72BA5A04" w14:textId="77777777" w:rsidR="00997F82" w:rsidRPr="00FF19C2"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F19C2">
        <w:rPr>
          <w:rFonts w:ascii="Arial" w:hAnsi="Arial" w:cs="Arial"/>
          <w:sz w:val="20"/>
          <w:szCs w:val="20"/>
        </w:rPr>
        <w:t>doporučenou poštovou prepravou,</w:t>
      </w:r>
    </w:p>
    <w:p w14:paraId="721C3D1E" w14:textId="77777777" w:rsidR="00997F82" w:rsidRPr="00FF19C2"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F19C2">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ŽoPr, resp. informácie. MAS nie je oprávnená v procese schvaľovania ŽoPr vyvodiť negatívne dôsledky (vydanie oznámenia </w:t>
      </w:r>
      <w:r w:rsidRPr="003F3414">
        <w:rPr>
          <w:rFonts w:ascii="Arial" w:hAnsi="Arial" w:cs="Arial"/>
          <w:sz w:val="20"/>
        </w:rPr>
        <w:lastRenderedPageBreak/>
        <w:t>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lastRenderedPageBreak/>
        <w:t>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FF19C2"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w:t>
      </w:r>
      <w:r w:rsidRPr="00FF19C2">
        <w:rPr>
          <w:rFonts w:ascii="Arial" w:eastAsia="Calibri" w:hAnsi="Arial" w:cs="Arial"/>
          <w:sz w:val="20"/>
        </w:rPr>
        <w:t>procesu odborného hodnotenia ŽoPr je vykonať odborné, objektívne, nezávislé a transparentné posúdenie predložených ŽoPr na základe hodnotiacich kritérií zverejnených vo výzve.</w:t>
      </w:r>
    </w:p>
    <w:p w14:paraId="7F25C8BB" w14:textId="6CC40B8D" w:rsidR="00997F82" w:rsidRPr="00FF19C2" w:rsidRDefault="00997F82" w:rsidP="00997F82">
      <w:pPr>
        <w:spacing w:before="120" w:after="120" w:line="240" w:lineRule="auto"/>
        <w:jc w:val="both"/>
        <w:rPr>
          <w:rFonts w:ascii="Arial" w:eastAsia="Calibri" w:hAnsi="Arial" w:cs="Arial"/>
          <w:sz w:val="20"/>
        </w:rPr>
      </w:pPr>
      <w:r w:rsidRPr="00FF19C2">
        <w:rPr>
          <w:rFonts w:ascii="Arial" w:eastAsia="Calibri" w:hAnsi="Arial" w:cs="Arial"/>
          <w:sz w:val="20"/>
        </w:rPr>
        <w:t xml:space="preserve">Odborné hodnotenie ŽoPr vykonáva dvojica odborných hodnotiteľov na základe aplikácie kritérií, ktoré tvoria prílohu č. </w:t>
      </w:r>
      <w:r w:rsidR="000235AE" w:rsidRPr="00FF19C2">
        <w:rPr>
          <w:rFonts w:ascii="Arial" w:eastAsia="Calibri" w:hAnsi="Arial" w:cs="Arial"/>
          <w:sz w:val="20"/>
        </w:rPr>
        <w:t>4</w:t>
      </w:r>
      <w:r w:rsidRPr="00FF19C2">
        <w:rPr>
          <w:rFonts w:ascii="Arial" w:eastAsia="Calibri" w:hAnsi="Arial" w:cs="Arial"/>
          <w:sz w:val="20"/>
        </w:rPr>
        <w:t xml:space="preserve"> výzvy.</w:t>
      </w:r>
    </w:p>
    <w:p w14:paraId="67929C27" w14:textId="77777777" w:rsidR="00997F82" w:rsidRPr="00FF19C2" w:rsidRDefault="00997F82" w:rsidP="00997F82">
      <w:pPr>
        <w:spacing w:before="120" w:after="120" w:line="240" w:lineRule="auto"/>
        <w:jc w:val="both"/>
        <w:rPr>
          <w:rFonts w:ascii="Arial" w:eastAsia="Calibri" w:hAnsi="Arial" w:cs="Arial"/>
          <w:sz w:val="20"/>
        </w:rPr>
      </w:pPr>
      <w:r w:rsidRPr="00FF19C2">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FF19C2" w:rsidRDefault="00997F82" w:rsidP="00997F82">
      <w:pPr>
        <w:spacing w:before="120" w:after="120" w:line="240" w:lineRule="auto"/>
        <w:jc w:val="both"/>
        <w:rPr>
          <w:rFonts w:ascii="Arial" w:eastAsia="Calibri" w:hAnsi="Arial" w:cs="Arial"/>
          <w:sz w:val="20"/>
        </w:rPr>
      </w:pPr>
      <w:r w:rsidRPr="00FF19C2">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 pravdivosti alebo úplnosti ŽoPr a nie je možné konštatovať splnenie niektorej z podmienok poskytnutia príspevku, bude uvedené viesť k neschváleniu ŽoPr.</w:t>
      </w:r>
    </w:p>
    <w:p w14:paraId="2BABB778" w14:textId="75271D0A" w:rsidR="00997F82" w:rsidRPr="00FF19C2" w:rsidRDefault="00997F82" w:rsidP="00997F82">
      <w:pPr>
        <w:spacing w:before="120" w:after="120" w:line="240" w:lineRule="auto"/>
        <w:jc w:val="both"/>
        <w:rPr>
          <w:rFonts w:ascii="Arial" w:eastAsia="Calibri" w:hAnsi="Arial" w:cs="Arial"/>
          <w:sz w:val="20"/>
        </w:rPr>
      </w:pPr>
      <w:r w:rsidRPr="00FF19C2">
        <w:rPr>
          <w:rFonts w:ascii="Arial" w:eastAsia="Calibri" w:hAnsi="Arial" w:cs="Arial"/>
          <w:sz w:val="20"/>
        </w:rPr>
        <w:t xml:space="preserve">Na doručovanie výzvy na doplnenie ŽoPr a doručovanie doplnení zo strany žiadateľovi MAS sa rovnako vzťahujú podmienky doručovania uvedené v časti </w:t>
      </w:r>
      <w:r w:rsidR="005D4C2E" w:rsidRPr="00FF19C2">
        <w:rPr>
          <w:rFonts w:ascii="Arial" w:eastAsia="Calibri" w:hAnsi="Arial" w:cs="Arial"/>
          <w:sz w:val="20"/>
        </w:rPr>
        <w:t>5</w:t>
      </w:r>
      <w:r w:rsidRPr="00FF19C2">
        <w:rPr>
          <w:rFonts w:ascii="Arial" w:eastAsia="Calibri" w:hAnsi="Arial" w:cs="Arial"/>
          <w:sz w:val="20"/>
        </w:rPr>
        <w:t>.1.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FF19C2">
        <w:rPr>
          <w:rFonts w:ascii="Arial" w:eastAsia="Calibri" w:hAnsi="Arial" w:cs="Arial"/>
          <w:sz w:val="20"/>
        </w:rPr>
        <w:t>Ak ŽoPr nesplnila podmienky odborného hodnotenia, MAS zašle žiadateľovi oznámenie o neschválení</w:t>
      </w:r>
      <w:r w:rsidRPr="003F3414">
        <w:rPr>
          <w:rFonts w:ascii="Arial" w:eastAsia="Calibri" w:hAnsi="Arial" w:cs="Arial"/>
          <w:sz w:val="20"/>
        </w:rPr>
        <w:t xml:space="preserve">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17E696EE" w:rsidR="00997F82"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72D6002F" w14:textId="77777777" w:rsidR="00223DDA" w:rsidRPr="00223DDA" w:rsidRDefault="00997F82" w:rsidP="00223DDA">
      <w:pPr>
        <w:pStyle w:val="Odsekzoznamu"/>
        <w:numPr>
          <w:ilvl w:val="0"/>
          <w:numId w:val="43"/>
        </w:numPr>
        <w:ind w:left="851"/>
        <w:jc w:val="both"/>
        <w:rPr>
          <w:rFonts w:ascii="Arial" w:hAnsi="Arial" w:cs="Arial"/>
          <w:sz w:val="20"/>
          <w:szCs w:val="20"/>
        </w:rPr>
      </w:pPr>
      <w:r w:rsidRPr="00223DDA">
        <w:rPr>
          <w:rFonts w:ascii="Arial" w:hAnsi="Arial" w:cs="Arial"/>
          <w:sz w:val="20"/>
          <w:szCs w:val="20"/>
        </w:rPr>
        <w:t xml:space="preserve">Posúdenie vplyvu a dopadu projektu na plnenie stratégie CLLD - toto rozlišovacie kritérium sa aplikuje jedine v prípadoch, ak aplikácia na základe hodnoty </w:t>
      </w:r>
      <w:proofErr w:type="spellStart"/>
      <w:r w:rsidRPr="00223DDA">
        <w:rPr>
          <w:rFonts w:ascii="Arial" w:hAnsi="Arial" w:cs="Arial"/>
          <w:sz w:val="20"/>
          <w:szCs w:val="20"/>
        </w:rPr>
        <w:t>value</w:t>
      </w:r>
      <w:proofErr w:type="spellEnd"/>
      <w:r w:rsidRPr="00223DDA">
        <w:rPr>
          <w:rFonts w:ascii="Arial" w:hAnsi="Arial" w:cs="Arial"/>
          <w:sz w:val="20"/>
          <w:szCs w:val="20"/>
        </w:rPr>
        <w:t xml:space="preserve"> </w:t>
      </w:r>
      <w:proofErr w:type="spellStart"/>
      <w:r w:rsidRPr="00223DDA">
        <w:rPr>
          <w:rFonts w:ascii="Arial" w:hAnsi="Arial" w:cs="Arial"/>
          <w:sz w:val="20"/>
          <w:szCs w:val="20"/>
        </w:rPr>
        <w:t>for</w:t>
      </w:r>
      <w:proofErr w:type="spellEnd"/>
      <w:r w:rsidRPr="00223DDA">
        <w:rPr>
          <w:rFonts w:ascii="Arial" w:hAnsi="Arial" w:cs="Arial"/>
          <w:sz w:val="20"/>
          <w:szCs w:val="20"/>
        </w:rPr>
        <w:t xml:space="preserve"> </w:t>
      </w:r>
      <w:proofErr w:type="spellStart"/>
      <w:r w:rsidRPr="00223DDA">
        <w:rPr>
          <w:rFonts w:ascii="Arial" w:hAnsi="Arial" w:cs="Arial"/>
          <w:sz w:val="20"/>
          <w:szCs w:val="20"/>
        </w:rPr>
        <w:t>money</w:t>
      </w:r>
      <w:proofErr w:type="spellEnd"/>
      <w:r w:rsidRPr="00223DDA">
        <w:rPr>
          <w:rFonts w:ascii="Arial" w:hAnsi="Arial" w:cs="Arial"/>
          <w:sz w:val="20"/>
          <w:szCs w:val="20"/>
        </w:rPr>
        <w:t xml:space="preserve"> neurčila konečné poradie žiadostí o príspevok na hranici alokácie. Toto rozlišovacie kritérium aplikuje výberová komisia MAS</w:t>
      </w:r>
      <w:r w:rsidR="00223DDA" w:rsidRPr="00223DDA">
        <w:rPr>
          <w:rFonts w:ascii="Arial" w:hAnsi="Arial" w:cs="Arial"/>
          <w:sz w:val="20"/>
          <w:szCs w:val="20"/>
        </w:rPr>
        <w:t>*</w:t>
      </w:r>
      <w:r w:rsidRPr="00223DDA">
        <w:rPr>
          <w:rFonts w:ascii="Arial" w:hAnsi="Arial" w:cs="Arial"/>
          <w:sz w:val="20"/>
          <w:szCs w:val="20"/>
        </w:rPr>
        <w:t>.</w:t>
      </w:r>
      <w:r w:rsidR="00223DDA" w:rsidRPr="00223DDA">
        <w:rPr>
          <w:rFonts w:ascii="Arial" w:hAnsi="Arial" w:cs="Arial"/>
          <w:sz w:val="20"/>
          <w:szCs w:val="20"/>
        </w:rPr>
        <w:t xml:space="preserve"> </w:t>
      </w:r>
    </w:p>
    <w:p w14:paraId="4873EE9A" w14:textId="4805E98E" w:rsidR="00997F82" w:rsidRPr="00223DDA" w:rsidRDefault="00997F82" w:rsidP="00223DDA">
      <w:pPr>
        <w:spacing w:after="0"/>
        <w:jc w:val="both"/>
        <w:rPr>
          <w:rFonts w:ascii="Arial" w:hAnsi="Arial" w:cs="Arial"/>
          <w:sz w:val="20"/>
          <w:szCs w:val="20"/>
        </w:rPr>
      </w:pP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lastRenderedPageBreak/>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0334ECC"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w:t>
      </w:r>
      <w:r w:rsidR="00223DDA">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027044C2"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ŽoPr naďalej spĺňa podmienky poskytnutia príspevku, ak nebolo možné overiť splnenie týchto podmienok aj bez výzvy </w:t>
      </w:r>
      <w:r w:rsidRPr="003F3414">
        <w:rPr>
          <w:rFonts w:ascii="Arial" w:eastAsiaTheme="minorHAnsi" w:hAnsi="Arial" w:cs="Arial"/>
          <w:color w:val="000000"/>
          <w:sz w:val="20"/>
          <w:lang w:eastAsia="en-US"/>
        </w:rPr>
        <w:lastRenderedPageBreak/>
        <w:t>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w:t>
      </w:r>
      <w:r w:rsidRPr="003F3414">
        <w:rPr>
          <w:rFonts w:ascii="Arial" w:hAnsi="Arial" w:cs="Arial"/>
          <w:sz w:val="20"/>
        </w:rPr>
        <w:lastRenderedPageBreak/>
        <w:t xml:space="preserve">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BBBA6F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645766">
        <w:rPr>
          <w:rFonts w:ascii="Arial" w:hAnsi="Arial" w:cs="Arial"/>
          <w:sz w:val="20"/>
        </w:rPr>
        <w:t xml:space="preserve"> </w:t>
      </w:r>
      <w:hyperlink r:id="rId24" w:history="1">
        <w:r w:rsidR="00645766" w:rsidRPr="00381BB6">
          <w:rPr>
            <w:rStyle w:val="Hypertextovprepojenie"/>
            <w:rFonts w:cs="Arial"/>
            <w:sz w:val="20"/>
          </w:rPr>
          <w:t>https://www.mpsr.sk/vzor-zmluvy-o-prispevok/1319-67-1319-15136/</w:t>
        </w:r>
      </w:hyperlink>
      <w:r w:rsidR="00645766">
        <w:rPr>
          <w:rFonts w:ascii="Arial" w:hAnsi="Arial" w:cs="Arial"/>
          <w:sz w:val="20"/>
        </w:rPr>
        <w:t xml:space="preserve">. </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w:t>
      </w:r>
      <w:r w:rsidRPr="003F3414">
        <w:rPr>
          <w:rFonts w:ascii="Arial" w:hAnsi="Arial" w:cs="Arial"/>
          <w:sz w:val="20"/>
        </w:rPr>
        <w:lastRenderedPageBreak/>
        <w:t xml:space="preserve">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74B8D6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5" w:history="1">
        <w:r w:rsidR="00EA10BF" w:rsidRPr="00381BB6">
          <w:rPr>
            <w:rStyle w:val="Hypertextovprepojenie"/>
            <w:rFonts w:cs="Arial"/>
            <w:spacing w:val="-3"/>
            <w:sz w:val="20"/>
            <w:szCs w:val="20"/>
          </w:rPr>
          <w:t>http://massabinovsko.sk/aktualne-vyzvy</w:t>
        </w:r>
      </w:hyperlink>
      <w:r w:rsidR="00EA10BF">
        <w:rPr>
          <w:rFonts w:ascii="Arial" w:hAnsi="Arial" w:cs="Arial"/>
          <w:spacing w:val="-3"/>
          <w:sz w:val="20"/>
          <w:szCs w:val="20"/>
        </w:rPr>
        <w:t xml:space="preserve"> </w:t>
      </w:r>
      <w:r w:rsidR="00645766">
        <w:rPr>
          <w:rFonts w:ascii="Arial" w:hAnsi="Arial" w:cs="Arial"/>
          <w:spacing w:val="-3"/>
          <w:sz w:val="20"/>
          <w:szCs w:val="20"/>
        </w:rPr>
        <w:t>a</w:t>
      </w:r>
      <w:r w:rsidRPr="003F3414">
        <w:rPr>
          <w:rFonts w:ascii="Arial" w:hAnsi="Arial" w:cs="Arial"/>
          <w:spacing w:val="-3"/>
          <w:sz w:val="20"/>
          <w:szCs w:val="20"/>
        </w:rPr>
        <w:t xml:space="preserve">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1CC6E33"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45766">
        <w:rPr>
          <w:rFonts w:ascii="Arial" w:hAnsi="Arial" w:cs="Arial"/>
          <w:spacing w:val="-3"/>
          <w:sz w:val="20"/>
          <w:szCs w:val="20"/>
        </w:rPr>
        <w:t xml:space="preserve"> </w:t>
      </w:r>
      <w:hyperlink r:id="rId26" w:history="1">
        <w:r w:rsidR="00645766" w:rsidRPr="00381BB6">
          <w:rPr>
            <w:rStyle w:val="Hypertextovprepojenie"/>
            <w:rFonts w:cs="Arial"/>
            <w:spacing w:val="-3"/>
            <w:sz w:val="20"/>
            <w:szCs w:val="20"/>
          </w:rPr>
          <w:t>info@massabinovsko.sk</w:t>
        </w:r>
      </w:hyperlink>
      <w:r w:rsidR="00645766">
        <w:rPr>
          <w:rFonts w:ascii="Arial" w:hAnsi="Arial" w:cs="Arial"/>
          <w:spacing w:val="-3"/>
          <w:sz w:val="20"/>
          <w:szCs w:val="20"/>
        </w:rPr>
        <w:t xml:space="preserve"> </w:t>
      </w:r>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C506DD" w:rsidRDefault="00997F82" w:rsidP="00FF6C9B">
      <w:pPr>
        <w:spacing w:before="240" w:after="240" w:line="240" w:lineRule="auto"/>
        <w:jc w:val="both"/>
        <w:rPr>
          <w:rFonts w:ascii="Arial" w:hAnsi="Arial" w:cs="Arial"/>
          <w:sz w:val="16"/>
          <w:szCs w:val="16"/>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CDB16" w14:textId="77777777" w:rsidR="00834D68" w:rsidRDefault="00834D68" w:rsidP="00997F82">
      <w:pPr>
        <w:spacing w:after="0" w:line="240" w:lineRule="auto"/>
      </w:pPr>
      <w:r>
        <w:separator/>
      </w:r>
    </w:p>
  </w:endnote>
  <w:endnote w:type="continuationSeparator" w:id="0">
    <w:p w14:paraId="3FA63AF9" w14:textId="77777777" w:rsidR="00834D68" w:rsidRDefault="00834D68"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A755CAB" w:rsidR="005401EA" w:rsidRPr="000B630C" w:rsidRDefault="005401E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Pr>
            <w:rFonts w:ascii="Arial" w:hAnsi="Arial" w:cs="Arial"/>
            <w:noProof/>
            <w:sz w:val="20"/>
            <w:szCs w:val="20"/>
          </w:rPr>
          <w:t>34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5401EA" w:rsidRDefault="005401E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401EA" w:rsidRDefault="005401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CB2BD" w14:textId="77777777" w:rsidR="00834D68" w:rsidRDefault="00834D68" w:rsidP="00997F82">
      <w:pPr>
        <w:spacing w:after="0" w:line="240" w:lineRule="auto"/>
      </w:pPr>
      <w:r>
        <w:separator/>
      </w:r>
    </w:p>
  </w:footnote>
  <w:footnote w:type="continuationSeparator" w:id="0">
    <w:p w14:paraId="3A905ED2" w14:textId="77777777" w:rsidR="00834D68" w:rsidRDefault="00834D68" w:rsidP="00997F82">
      <w:pPr>
        <w:spacing w:after="0" w:line="240" w:lineRule="auto"/>
      </w:pPr>
      <w:r>
        <w:continuationSeparator/>
      </w:r>
    </w:p>
  </w:footnote>
  <w:footnote w:id="1">
    <w:p w14:paraId="2D71C0E7" w14:textId="7675BE7E" w:rsidR="005401EA" w:rsidRPr="00B33449" w:rsidRDefault="005401EA"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5401EA" w:rsidRPr="008D12FA" w:rsidRDefault="005401EA" w:rsidP="003B171B">
      <w:pPr>
        <w:pStyle w:val="Textpoznmkypodiarou"/>
        <w:ind w:left="284"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5401EA" w:rsidRPr="008D12FA" w:rsidRDefault="005401EA"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5401EA" w:rsidRPr="008D12FA" w:rsidRDefault="005401EA"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5401EA" w:rsidRPr="008D12FA" w:rsidRDefault="005401EA"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5401EA" w:rsidRDefault="005401EA" w:rsidP="003A5D92">
      <w:pPr>
        <w:pStyle w:val="Textpoznmkypodiarou"/>
        <w:numPr>
          <w:ilvl w:val="0"/>
          <w:numId w:val="51"/>
        </w:numPr>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9E21627" w14:textId="2F4D7060" w:rsidR="005401EA" w:rsidRPr="00726901" w:rsidRDefault="005401EA" w:rsidP="00726901">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178B148" w14:textId="722A6620" w:rsidR="005401EA" w:rsidRPr="00726901" w:rsidRDefault="005401EA" w:rsidP="00726901">
      <w:pPr>
        <w:pStyle w:val="Textpoznmkypodiarou"/>
        <w:numPr>
          <w:ilvl w:val="0"/>
          <w:numId w:val="68"/>
        </w:numPr>
        <w:jc w:val="both"/>
      </w:pPr>
      <w:r>
        <w:t>f</w:t>
      </w:r>
      <w:r w:rsidRPr="00726901">
        <w:t>yzicky sa zrealizovali všetky Aktivity Projektu,</w:t>
      </w:r>
    </w:p>
    <w:p w14:paraId="5AC6E6E7" w14:textId="3186AE87" w:rsidR="005401EA" w:rsidRDefault="005401EA" w:rsidP="00726901">
      <w:pPr>
        <w:pStyle w:val="Textpoznmkypodiarou"/>
        <w:numPr>
          <w:ilvl w:val="0"/>
          <w:numId w:val="68"/>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4">
    <w:p w14:paraId="4C52345F" w14:textId="77777777" w:rsidR="005401EA" w:rsidRPr="003F3414" w:rsidRDefault="005401EA"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6BB90558" w:rsidR="005401EA" w:rsidRDefault="005401EA"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w:t>
      </w:r>
      <w:r w:rsidRPr="00823767">
        <w:rPr>
          <w:rFonts w:ascii="Arial" w:hAnsi="Arial" w:cs="Arial"/>
          <w:sz w:val="16"/>
          <w:szCs w:val="16"/>
        </w:rPr>
        <w:t>projektu (</w:t>
      </w:r>
      <w:r w:rsidRPr="00823767">
        <w:rPr>
          <w:rFonts w:ascii="Arial" w:hAnsi="Arial" w:cs="Arial"/>
          <w:i/>
          <w:sz w:val="16"/>
          <w:szCs w:val="16"/>
        </w:rPr>
        <w:t>A104 Počet vytvorených pracovných miest</w:t>
      </w:r>
      <w:r w:rsidRPr="00823767">
        <w:rPr>
          <w:rFonts w:ascii="Arial" w:hAnsi="Arial" w:cs="Arial"/>
          <w:sz w:val="16"/>
          <w:szCs w:val="16"/>
        </w:rPr>
        <w:t>)</w:t>
      </w:r>
    </w:p>
  </w:footnote>
  <w:footnote w:id="6">
    <w:p w14:paraId="75372597" w14:textId="58F7A4E1" w:rsidR="005401EA" w:rsidRPr="003F3414" w:rsidRDefault="005401EA"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9AA4967" w:rsidR="005401EA" w:rsidRPr="001F013A" w:rsidRDefault="005401EA" w:rsidP="00DD3EE2">
    <w:pPr>
      <w:pStyle w:val="Hlavika"/>
      <w:rPr>
        <w:rFonts w:ascii="Arial Narrow" w:hAnsi="Arial Narrow"/>
        <w:sz w:val="20"/>
      </w:rPr>
    </w:pPr>
    <w:r w:rsidRPr="00F049F5">
      <w:rPr>
        <w:noProof/>
      </w:rPr>
      <w:drawing>
        <wp:inline distT="0" distB="0" distL="0" distR="0" wp14:anchorId="54CEB501" wp14:editId="284C1F01">
          <wp:extent cx="857250" cy="312694"/>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028" cy="313343"/>
                  </a:xfrm>
                  <a:prstGeom prst="rect">
                    <a:avLst/>
                  </a:prstGeom>
                  <a:noFill/>
                  <a:ln>
                    <a:noFill/>
                  </a:ln>
                </pic:spPr>
              </pic:pic>
            </a:graphicData>
          </a:graphic>
        </wp:inline>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D33B894">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5401EA" w:rsidRDefault="005401EA" w:rsidP="00DD3EE2">
    <w:pPr>
      <w:pStyle w:val="Hlavika"/>
    </w:pPr>
  </w:p>
  <w:p w14:paraId="25C2BAF4" w14:textId="116F9CC5" w:rsidR="005401EA" w:rsidRPr="00FC401E" w:rsidRDefault="005401E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74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4221A7D"/>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5"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1"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2"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8"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8"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0"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1"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3"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5"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8"/>
  </w:num>
  <w:num w:numId="2">
    <w:abstractNumId w:val="60"/>
  </w:num>
  <w:num w:numId="3">
    <w:abstractNumId w:val="27"/>
  </w:num>
  <w:num w:numId="4">
    <w:abstractNumId w:val="36"/>
  </w:num>
  <w:num w:numId="5">
    <w:abstractNumId w:val="68"/>
  </w:num>
  <w:num w:numId="6">
    <w:abstractNumId w:val="0"/>
  </w:num>
  <w:num w:numId="7">
    <w:abstractNumId w:val="16"/>
  </w:num>
  <w:num w:numId="8">
    <w:abstractNumId w:val="56"/>
  </w:num>
  <w:num w:numId="9">
    <w:abstractNumId w:val="20"/>
  </w:num>
  <w:num w:numId="10">
    <w:abstractNumId w:val="5"/>
  </w:num>
  <w:num w:numId="11">
    <w:abstractNumId w:val="23"/>
  </w:num>
  <w:num w:numId="12">
    <w:abstractNumId w:val="25"/>
  </w:num>
  <w:num w:numId="13">
    <w:abstractNumId w:val="6"/>
  </w:num>
  <w:num w:numId="14">
    <w:abstractNumId w:val="11"/>
  </w:num>
  <w:num w:numId="15">
    <w:abstractNumId w:val="57"/>
  </w:num>
  <w:num w:numId="16">
    <w:abstractNumId w:val="1"/>
  </w:num>
  <w:num w:numId="17">
    <w:abstractNumId w:val="64"/>
  </w:num>
  <w:num w:numId="18">
    <w:abstractNumId w:val="28"/>
  </w:num>
  <w:num w:numId="19">
    <w:abstractNumId w:val="45"/>
  </w:num>
  <w:num w:numId="20">
    <w:abstractNumId w:val="58"/>
  </w:num>
  <w:num w:numId="21">
    <w:abstractNumId w:val="52"/>
  </w:num>
  <w:num w:numId="22">
    <w:abstractNumId w:val="46"/>
  </w:num>
  <w:num w:numId="23">
    <w:abstractNumId w:val="8"/>
  </w:num>
  <w:num w:numId="24">
    <w:abstractNumId w:val="39"/>
  </w:num>
  <w:num w:numId="25">
    <w:abstractNumId w:val="47"/>
  </w:num>
  <w:num w:numId="26">
    <w:abstractNumId w:val="49"/>
  </w:num>
  <w:num w:numId="27">
    <w:abstractNumId w:val="67"/>
  </w:num>
  <w:num w:numId="28">
    <w:abstractNumId w:val="19"/>
  </w:num>
  <w:num w:numId="29">
    <w:abstractNumId w:val="15"/>
  </w:num>
  <w:num w:numId="30">
    <w:abstractNumId w:val="35"/>
  </w:num>
  <w:num w:numId="31">
    <w:abstractNumId w:val="9"/>
  </w:num>
  <w:num w:numId="32">
    <w:abstractNumId w:val="12"/>
  </w:num>
  <w:num w:numId="33">
    <w:abstractNumId w:val="21"/>
  </w:num>
  <w:num w:numId="34">
    <w:abstractNumId w:val="4"/>
  </w:num>
  <w:num w:numId="35">
    <w:abstractNumId w:val="54"/>
  </w:num>
  <w:num w:numId="36">
    <w:abstractNumId w:val="55"/>
  </w:num>
  <w:num w:numId="37">
    <w:abstractNumId w:val="61"/>
  </w:num>
  <w:num w:numId="38">
    <w:abstractNumId w:val="51"/>
  </w:num>
  <w:num w:numId="39">
    <w:abstractNumId w:val="42"/>
  </w:num>
  <w:num w:numId="40">
    <w:abstractNumId w:val="43"/>
  </w:num>
  <w:num w:numId="41">
    <w:abstractNumId w:val="2"/>
  </w:num>
  <w:num w:numId="42">
    <w:abstractNumId w:val="18"/>
  </w:num>
  <w:num w:numId="43">
    <w:abstractNumId w:val="30"/>
  </w:num>
  <w:num w:numId="44">
    <w:abstractNumId w:val="53"/>
  </w:num>
  <w:num w:numId="45">
    <w:abstractNumId w:val="37"/>
  </w:num>
  <w:num w:numId="46">
    <w:abstractNumId w:val="50"/>
  </w:num>
  <w:num w:numId="47">
    <w:abstractNumId w:val="41"/>
  </w:num>
  <w:num w:numId="48">
    <w:abstractNumId w:val="44"/>
  </w:num>
  <w:num w:numId="49">
    <w:abstractNumId w:val="22"/>
  </w:num>
  <w:num w:numId="50">
    <w:abstractNumId w:val="63"/>
  </w:num>
  <w:num w:numId="51">
    <w:abstractNumId w:val="62"/>
  </w:num>
  <w:num w:numId="52">
    <w:abstractNumId w:val="38"/>
  </w:num>
  <w:num w:numId="53">
    <w:abstractNumId w:val="32"/>
  </w:num>
  <w:num w:numId="54">
    <w:abstractNumId w:val="3"/>
  </w:num>
  <w:num w:numId="55">
    <w:abstractNumId w:val="17"/>
  </w:num>
  <w:num w:numId="56">
    <w:abstractNumId w:val="10"/>
  </w:num>
  <w:num w:numId="57">
    <w:abstractNumId w:val="34"/>
  </w:num>
  <w:num w:numId="58">
    <w:abstractNumId w:val="59"/>
  </w:num>
  <w:num w:numId="59">
    <w:abstractNumId w:val="40"/>
  </w:num>
  <w:num w:numId="60">
    <w:abstractNumId w:val="26"/>
  </w:num>
  <w:num w:numId="61">
    <w:abstractNumId w:val="33"/>
  </w:num>
  <w:num w:numId="62">
    <w:abstractNumId w:val="14"/>
  </w:num>
  <w:num w:numId="63">
    <w:abstractNumId w:val="66"/>
  </w:num>
  <w:num w:numId="64">
    <w:abstractNumId w:val="13"/>
  </w:num>
  <w:num w:numId="65">
    <w:abstractNumId w:val="31"/>
  </w:num>
  <w:num w:numId="66">
    <w:abstractNumId w:val="24"/>
  </w:num>
  <w:num w:numId="67">
    <w:abstractNumId w:val="29"/>
  </w:num>
  <w:num w:numId="68">
    <w:abstractNumId w:val="65"/>
  </w:num>
  <w:num w:numId="69">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235AE"/>
    <w:rsid w:val="00025E50"/>
    <w:rsid w:val="0003324E"/>
    <w:rsid w:val="00033565"/>
    <w:rsid w:val="0005684E"/>
    <w:rsid w:val="000569D6"/>
    <w:rsid w:val="00064EDD"/>
    <w:rsid w:val="00065CC5"/>
    <w:rsid w:val="00066F24"/>
    <w:rsid w:val="00073702"/>
    <w:rsid w:val="0007610E"/>
    <w:rsid w:val="00081FA8"/>
    <w:rsid w:val="0008289A"/>
    <w:rsid w:val="000856E1"/>
    <w:rsid w:val="00086001"/>
    <w:rsid w:val="000907B7"/>
    <w:rsid w:val="000A1C65"/>
    <w:rsid w:val="000A52FB"/>
    <w:rsid w:val="000A64EF"/>
    <w:rsid w:val="000B19BE"/>
    <w:rsid w:val="000C25C2"/>
    <w:rsid w:val="000C367D"/>
    <w:rsid w:val="000C70A1"/>
    <w:rsid w:val="000D455B"/>
    <w:rsid w:val="000E1177"/>
    <w:rsid w:val="000E6FF9"/>
    <w:rsid w:val="000F221D"/>
    <w:rsid w:val="000F55AF"/>
    <w:rsid w:val="00111EE5"/>
    <w:rsid w:val="00116361"/>
    <w:rsid w:val="00117483"/>
    <w:rsid w:val="00131EFE"/>
    <w:rsid w:val="00156B34"/>
    <w:rsid w:val="00156C68"/>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483A"/>
    <w:rsid w:val="001E7F00"/>
    <w:rsid w:val="001F4CCC"/>
    <w:rsid w:val="001F75B6"/>
    <w:rsid w:val="00200A91"/>
    <w:rsid w:val="00203335"/>
    <w:rsid w:val="00207E22"/>
    <w:rsid w:val="0021172D"/>
    <w:rsid w:val="00223DDA"/>
    <w:rsid w:val="00227859"/>
    <w:rsid w:val="002319F5"/>
    <w:rsid w:val="00236E5C"/>
    <w:rsid w:val="002450DB"/>
    <w:rsid w:val="00253953"/>
    <w:rsid w:val="00257130"/>
    <w:rsid w:val="002644F7"/>
    <w:rsid w:val="00274674"/>
    <w:rsid w:val="00283BA3"/>
    <w:rsid w:val="00286133"/>
    <w:rsid w:val="00297683"/>
    <w:rsid w:val="002B578B"/>
    <w:rsid w:val="002C0F04"/>
    <w:rsid w:val="002C179C"/>
    <w:rsid w:val="002D1949"/>
    <w:rsid w:val="002E1ED1"/>
    <w:rsid w:val="002F03F2"/>
    <w:rsid w:val="002F3108"/>
    <w:rsid w:val="002F5D83"/>
    <w:rsid w:val="002F6656"/>
    <w:rsid w:val="002F7523"/>
    <w:rsid w:val="00300E84"/>
    <w:rsid w:val="00305762"/>
    <w:rsid w:val="00310133"/>
    <w:rsid w:val="003154B9"/>
    <w:rsid w:val="00316374"/>
    <w:rsid w:val="003236C2"/>
    <w:rsid w:val="00325FC2"/>
    <w:rsid w:val="00330781"/>
    <w:rsid w:val="003357FD"/>
    <w:rsid w:val="003426E3"/>
    <w:rsid w:val="003531B1"/>
    <w:rsid w:val="003564F3"/>
    <w:rsid w:val="0036248B"/>
    <w:rsid w:val="00374B3F"/>
    <w:rsid w:val="00375F69"/>
    <w:rsid w:val="00377989"/>
    <w:rsid w:val="003814F9"/>
    <w:rsid w:val="003840C5"/>
    <w:rsid w:val="00392626"/>
    <w:rsid w:val="003A4993"/>
    <w:rsid w:val="003A5D92"/>
    <w:rsid w:val="003B05C3"/>
    <w:rsid w:val="003B171B"/>
    <w:rsid w:val="003B4A66"/>
    <w:rsid w:val="003B7566"/>
    <w:rsid w:val="003C1560"/>
    <w:rsid w:val="003C3910"/>
    <w:rsid w:val="003D39D0"/>
    <w:rsid w:val="003D746C"/>
    <w:rsid w:val="003E1496"/>
    <w:rsid w:val="003E6697"/>
    <w:rsid w:val="003E6F8F"/>
    <w:rsid w:val="003F0011"/>
    <w:rsid w:val="003F1701"/>
    <w:rsid w:val="003F6D35"/>
    <w:rsid w:val="004218C4"/>
    <w:rsid w:val="00421F08"/>
    <w:rsid w:val="00424BB9"/>
    <w:rsid w:val="004324AB"/>
    <w:rsid w:val="0044013E"/>
    <w:rsid w:val="00443977"/>
    <w:rsid w:val="004461E5"/>
    <w:rsid w:val="004530CF"/>
    <w:rsid w:val="00461BD5"/>
    <w:rsid w:val="00463F92"/>
    <w:rsid w:val="00465C96"/>
    <w:rsid w:val="00481344"/>
    <w:rsid w:val="0048669C"/>
    <w:rsid w:val="004A16E0"/>
    <w:rsid w:val="004A2FB5"/>
    <w:rsid w:val="004A7113"/>
    <w:rsid w:val="004B5CAD"/>
    <w:rsid w:val="004B6729"/>
    <w:rsid w:val="004C09DA"/>
    <w:rsid w:val="004C4FA0"/>
    <w:rsid w:val="004D750A"/>
    <w:rsid w:val="004D7D41"/>
    <w:rsid w:val="004E1022"/>
    <w:rsid w:val="004E7718"/>
    <w:rsid w:val="004F2597"/>
    <w:rsid w:val="004F2ED1"/>
    <w:rsid w:val="004F52D8"/>
    <w:rsid w:val="004F7821"/>
    <w:rsid w:val="00506D83"/>
    <w:rsid w:val="00512D03"/>
    <w:rsid w:val="00515B27"/>
    <w:rsid w:val="00531A13"/>
    <w:rsid w:val="00531ECE"/>
    <w:rsid w:val="00535638"/>
    <w:rsid w:val="0053630A"/>
    <w:rsid w:val="005366A9"/>
    <w:rsid w:val="005401EA"/>
    <w:rsid w:val="00541A54"/>
    <w:rsid w:val="00543C90"/>
    <w:rsid w:val="005541EF"/>
    <w:rsid w:val="00556E68"/>
    <w:rsid w:val="005609FD"/>
    <w:rsid w:val="0056357B"/>
    <w:rsid w:val="005723CC"/>
    <w:rsid w:val="00573362"/>
    <w:rsid w:val="005760CC"/>
    <w:rsid w:val="00580427"/>
    <w:rsid w:val="00583E39"/>
    <w:rsid w:val="00595B92"/>
    <w:rsid w:val="00597A23"/>
    <w:rsid w:val="005B215C"/>
    <w:rsid w:val="005B2B01"/>
    <w:rsid w:val="005B3A2C"/>
    <w:rsid w:val="005C3D29"/>
    <w:rsid w:val="005C7DBB"/>
    <w:rsid w:val="005D4668"/>
    <w:rsid w:val="005D4C2E"/>
    <w:rsid w:val="005E7202"/>
    <w:rsid w:val="005F0F78"/>
    <w:rsid w:val="0062012F"/>
    <w:rsid w:val="0063182B"/>
    <w:rsid w:val="006359C9"/>
    <w:rsid w:val="00643184"/>
    <w:rsid w:val="00645674"/>
    <w:rsid w:val="00645766"/>
    <w:rsid w:val="0064727E"/>
    <w:rsid w:val="00655F31"/>
    <w:rsid w:val="00661A23"/>
    <w:rsid w:val="006659AB"/>
    <w:rsid w:val="00671CC6"/>
    <w:rsid w:val="006819D2"/>
    <w:rsid w:val="0068722F"/>
    <w:rsid w:val="00687273"/>
    <w:rsid w:val="00692641"/>
    <w:rsid w:val="00693C31"/>
    <w:rsid w:val="006941AD"/>
    <w:rsid w:val="00696061"/>
    <w:rsid w:val="006A048B"/>
    <w:rsid w:val="006A27D3"/>
    <w:rsid w:val="006A2B96"/>
    <w:rsid w:val="006A62C0"/>
    <w:rsid w:val="006C54ED"/>
    <w:rsid w:val="006C7DF6"/>
    <w:rsid w:val="006D0AAF"/>
    <w:rsid w:val="006D29F3"/>
    <w:rsid w:val="006D2C8B"/>
    <w:rsid w:val="006E6056"/>
    <w:rsid w:val="006F333C"/>
    <w:rsid w:val="006F5281"/>
    <w:rsid w:val="00701A7A"/>
    <w:rsid w:val="00715270"/>
    <w:rsid w:val="00715D4A"/>
    <w:rsid w:val="00726901"/>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A6C2A"/>
    <w:rsid w:val="007B5B99"/>
    <w:rsid w:val="007C360D"/>
    <w:rsid w:val="007D1F0F"/>
    <w:rsid w:val="007D58CE"/>
    <w:rsid w:val="007E0409"/>
    <w:rsid w:val="007F0518"/>
    <w:rsid w:val="0080104A"/>
    <w:rsid w:val="008014D4"/>
    <w:rsid w:val="00802379"/>
    <w:rsid w:val="00803FFD"/>
    <w:rsid w:val="008215FF"/>
    <w:rsid w:val="00823509"/>
    <w:rsid w:val="00823767"/>
    <w:rsid w:val="00825667"/>
    <w:rsid w:val="00834D68"/>
    <w:rsid w:val="0083548F"/>
    <w:rsid w:val="00837AC2"/>
    <w:rsid w:val="00843399"/>
    <w:rsid w:val="00843C6F"/>
    <w:rsid w:val="00850A43"/>
    <w:rsid w:val="00857902"/>
    <w:rsid w:val="0086102D"/>
    <w:rsid w:val="008644F8"/>
    <w:rsid w:val="008657E3"/>
    <w:rsid w:val="00875F76"/>
    <w:rsid w:val="00882C9E"/>
    <w:rsid w:val="00890C26"/>
    <w:rsid w:val="00893453"/>
    <w:rsid w:val="00895004"/>
    <w:rsid w:val="008E4E7C"/>
    <w:rsid w:val="008E7AA9"/>
    <w:rsid w:val="008F0E53"/>
    <w:rsid w:val="008F5F19"/>
    <w:rsid w:val="0090058E"/>
    <w:rsid w:val="0090412C"/>
    <w:rsid w:val="00905190"/>
    <w:rsid w:val="009233A6"/>
    <w:rsid w:val="00937A8F"/>
    <w:rsid w:val="00946FAA"/>
    <w:rsid w:val="00955C2F"/>
    <w:rsid w:val="00967D3D"/>
    <w:rsid w:val="009714DB"/>
    <w:rsid w:val="009852EB"/>
    <w:rsid w:val="00991762"/>
    <w:rsid w:val="00992D0C"/>
    <w:rsid w:val="00997F82"/>
    <w:rsid w:val="009A0537"/>
    <w:rsid w:val="009A09B1"/>
    <w:rsid w:val="009A1878"/>
    <w:rsid w:val="009A4A69"/>
    <w:rsid w:val="009A65F5"/>
    <w:rsid w:val="009B1C10"/>
    <w:rsid w:val="009B1F17"/>
    <w:rsid w:val="009B47E3"/>
    <w:rsid w:val="009B62DC"/>
    <w:rsid w:val="009C6536"/>
    <w:rsid w:val="009D7EA2"/>
    <w:rsid w:val="009E612F"/>
    <w:rsid w:val="00A06A03"/>
    <w:rsid w:val="00A10998"/>
    <w:rsid w:val="00A252BF"/>
    <w:rsid w:val="00A33E84"/>
    <w:rsid w:val="00A37E01"/>
    <w:rsid w:val="00A43135"/>
    <w:rsid w:val="00A45A91"/>
    <w:rsid w:val="00A52FA8"/>
    <w:rsid w:val="00A53783"/>
    <w:rsid w:val="00A55A15"/>
    <w:rsid w:val="00A55A1F"/>
    <w:rsid w:val="00A55D6C"/>
    <w:rsid w:val="00A573D6"/>
    <w:rsid w:val="00A57C24"/>
    <w:rsid w:val="00A65858"/>
    <w:rsid w:val="00A666FE"/>
    <w:rsid w:val="00A70A2A"/>
    <w:rsid w:val="00A7417B"/>
    <w:rsid w:val="00A90A85"/>
    <w:rsid w:val="00A945C2"/>
    <w:rsid w:val="00A97509"/>
    <w:rsid w:val="00A97B68"/>
    <w:rsid w:val="00AA0A82"/>
    <w:rsid w:val="00AA39B6"/>
    <w:rsid w:val="00AA3E81"/>
    <w:rsid w:val="00AB07F9"/>
    <w:rsid w:val="00AC028F"/>
    <w:rsid w:val="00AC36A2"/>
    <w:rsid w:val="00AC4BBE"/>
    <w:rsid w:val="00AD1E6C"/>
    <w:rsid w:val="00AD4007"/>
    <w:rsid w:val="00AD7FDE"/>
    <w:rsid w:val="00AE11DC"/>
    <w:rsid w:val="00AE641C"/>
    <w:rsid w:val="00B01506"/>
    <w:rsid w:val="00B01738"/>
    <w:rsid w:val="00B10F27"/>
    <w:rsid w:val="00B12C25"/>
    <w:rsid w:val="00B12E40"/>
    <w:rsid w:val="00B24267"/>
    <w:rsid w:val="00B26F6D"/>
    <w:rsid w:val="00B336CA"/>
    <w:rsid w:val="00B35B5D"/>
    <w:rsid w:val="00B36BBA"/>
    <w:rsid w:val="00B43666"/>
    <w:rsid w:val="00B43B53"/>
    <w:rsid w:val="00B65FEC"/>
    <w:rsid w:val="00B67213"/>
    <w:rsid w:val="00B673F2"/>
    <w:rsid w:val="00B75121"/>
    <w:rsid w:val="00B768E9"/>
    <w:rsid w:val="00B830C6"/>
    <w:rsid w:val="00B8659A"/>
    <w:rsid w:val="00BA44FE"/>
    <w:rsid w:val="00BB56CE"/>
    <w:rsid w:val="00BD780D"/>
    <w:rsid w:val="00BD7C47"/>
    <w:rsid w:val="00BD7FFD"/>
    <w:rsid w:val="00BF6C3A"/>
    <w:rsid w:val="00BF7457"/>
    <w:rsid w:val="00C04A44"/>
    <w:rsid w:val="00C202B5"/>
    <w:rsid w:val="00C22A3D"/>
    <w:rsid w:val="00C302E3"/>
    <w:rsid w:val="00C32AAB"/>
    <w:rsid w:val="00C473E6"/>
    <w:rsid w:val="00C506DD"/>
    <w:rsid w:val="00C544B0"/>
    <w:rsid w:val="00C6707F"/>
    <w:rsid w:val="00C70084"/>
    <w:rsid w:val="00C72A19"/>
    <w:rsid w:val="00C74CBB"/>
    <w:rsid w:val="00C94378"/>
    <w:rsid w:val="00CA18C8"/>
    <w:rsid w:val="00CB08D8"/>
    <w:rsid w:val="00CD33A6"/>
    <w:rsid w:val="00CD453C"/>
    <w:rsid w:val="00CF1AEB"/>
    <w:rsid w:val="00CF2199"/>
    <w:rsid w:val="00D002A1"/>
    <w:rsid w:val="00D05CF5"/>
    <w:rsid w:val="00D15307"/>
    <w:rsid w:val="00D54138"/>
    <w:rsid w:val="00D75D44"/>
    <w:rsid w:val="00D820A6"/>
    <w:rsid w:val="00D82CE8"/>
    <w:rsid w:val="00D83861"/>
    <w:rsid w:val="00D94618"/>
    <w:rsid w:val="00D96D56"/>
    <w:rsid w:val="00D97E68"/>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25742"/>
    <w:rsid w:val="00E30379"/>
    <w:rsid w:val="00E3070F"/>
    <w:rsid w:val="00E30D9E"/>
    <w:rsid w:val="00E44198"/>
    <w:rsid w:val="00E466E6"/>
    <w:rsid w:val="00E54587"/>
    <w:rsid w:val="00E55F52"/>
    <w:rsid w:val="00E60334"/>
    <w:rsid w:val="00E862C8"/>
    <w:rsid w:val="00E906F3"/>
    <w:rsid w:val="00E91593"/>
    <w:rsid w:val="00E922AD"/>
    <w:rsid w:val="00E9613C"/>
    <w:rsid w:val="00EA10BF"/>
    <w:rsid w:val="00EA155E"/>
    <w:rsid w:val="00EA3C9B"/>
    <w:rsid w:val="00EA766C"/>
    <w:rsid w:val="00EB29CA"/>
    <w:rsid w:val="00EB65C0"/>
    <w:rsid w:val="00EC7AEC"/>
    <w:rsid w:val="00ED0FA1"/>
    <w:rsid w:val="00ED17B7"/>
    <w:rsid w:val="00ED6D9F"/>
    <w:rsid w:val="00EE0748"/>
    <w:rsid w:val="00EF28A6"/>
    <w:rsid w:val="00EF2E95"/>
    <w:rsid w:val="00EF6638"/>
    <w:rsid w:val="00F004C3"/>
    <w:rsid w:val="00F108CA"/>
    <w:rsid w:val="00F12E6A"/>
    <w:rsid w:val="00F23F27"/>
    <w:rsid w:val="00F27CCE"/>
    <w:rsid w:val="00F30DAB"/>
    <w:rsid w:val="00F34153"/>
    <w:rsid w:val="00F413B2"/>
    <w:rsid w:val="00F43666"/>
    <w:rsid w:val="00F45DD1"/>
    <w:rsid w:val="00F5202D"/>
    <w:rsid w:val="00F61F89"/>
    <w:rsid w:val="00F62451"/>
    <w:rsid w:val="00F71E5B"/>
    <w:rsid w:val="00F721C6"/>
    <w:rsid w:val="00F771F1"/>
    <w:rsid w:val="00F8335C"/>
    <w:rsid w:val="00F84EC7"/>
    <w:rsid w:val="00FA5B22"/>
    <w:rsid w:val="00FA734C"/>
    <w:rsid w:val="00FB0090"/>
    <w:rsid w:val="00FB0591"/>
    <w:rsid w:val="00FB2E40"/>
    <w:rsid w:val="00FB4919"/>
    <w:rsid w:val="00FB50BE"/>
    <w:rsid w:val="00FB54EA"/>
    <w:rsid w:val="00FB755C"/>
    <w:rsid w:val="00FD07A2"/>
    <w:rsid w:val="00FD76F1"/>
    <w:rsid w:val="00FF15E0"/>
    <w:rsid w:val="00FF19C2"/>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styleId="Nevyrieenzmienka">
    <w:name w:val="Unresolved Mention"/>
    <w:basedOn w:val="Predvolenpsmoodseku"/>
    <w:uiPriority w:val="99"/>
    <w:semiHidden/>
    <w:unhideWhenUsed/>
    <w:rsid w:val="007A6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sabinovsko.sk/"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hyperlink" Target="mailto:info@massabinovsko.sk"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massabinovsko.sk/aktualne-vyzvy" TargetMode="Externa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s://www.mpsr.sk/vzor-zmluvy-o-prispevok/1319-67-1319-1513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competition/state_aid/studies_reports/recovery.html" TargetMode="External"/><Relationship Id="rId23" Type="http://schemas.openxmlformats.org/officeDocument/2006/relationships/hyperlink" Target="http://www.katasterportal.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mpsr.sk/schema-minimalnej-pomoci-na-podporu-mikro-a-malych-podnikov-schema-pomoci-de-minimis/1329-67-1329-13632/" TargetMode="External"/><Relationship Id="rId22" Type="http://schemas.openxmlformats.org/officeDocument/2006/relationships/hyperlink" Target="http://www.registeruz.sk"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16524"/>
    <w:rsid w:val="001B2475"/>
    <w:rsid w:val="00237B1B"/>
    <w:rsid w:val="00261F37"/>
    <w:rsid w:val="002640AA"/>
    <w:rsid w:val="00301556"/>
    <w:rsid w:val="00331CE2"/>
    <w:rsid w:val="003706C2"/>
    <w:rsid w:val="00375A98"/>
    <w:rsid w:val="003C5B56"/>
    <w:rsid w:val="003F03A5"/>
    <w:rsid w:val="00424257"/>
    <w:rsid w:val="00436420"/>
    <w:rsid w:val="004B348D"/>
    <w:rsid w:val="004C5215"/>
    <w:rsid w:val="004E2BCA"/>
    <w:rsid w:val="004F2CDE"/>
    <w:rsid w:val="00504897"/>
    <w:rsid w:val="00540F5F"/>
    <w:rsid w:val="00560FCD"/>
    <w:rsid w:val="00562250"/>
    <w:rsid w:val="00562C21"/>
    <w:rsid w:val="005728CB"/>
    <w:rsid w:val="005E0EF8"/>
    <w:rsid w:val="0061653F"/>
    <w:rsid w:val="00657BCF"/>
    <w:rsid w:val="006E5343"/>
    <w:rsid w:val="007316ED"/>
    <w:rsid w:val="007615B7"/>
    <w:rsid w:val="007B5FBC"/>
    <w:rsid w:val="00825069"/>
    <w:rsid w:val="0089532D"/>
    <w:rsid w:val="008C3DC5"/>
    <w:rsid w:val="00924C55"/>
    <w:rsid w:val="00956837"/>
    <w:rsid w:val="009617A1"/>
    <w:rsid w:val="009B7CB8"/>
    <w:rsid w:val="009C3B1A"/>
    <w:rsid w:val="00A21FAA"/>
    <w:rsid w:val="00A30B05"/>
    <w:rsid w:val="00A4339A"/>
    <w:rsid w:val="00A46377"/>
    <w:rsid w:val="00AC04BF"/>
    <w:rsid w:val="00AD1AB6"/>
    <w:rsid w:val="00AD6AB3"/>
    <w:rsid w:val="00AE1C22"/>
    <w:rsid w:val="00AE7BE2"/>
    <w:rsid w:val="00AF1F57"/>
    <w:rsid w:val="00B05E4E"/>
    <w:rsid w:val="00B4115B"/>
    <w:rsid w:val="00B558D0"/>
    <w:rsid w:val="00B727C9"/>
    <w:rsid w:val="00B973B3"/>
    <w:rsid w:val="00BA64EF"/>
    <w:rsid w:val="00BB7349"/>
    <w:rsid w:val="00C07602"/>
    <w:rsid w:val="00C11362"/>
    <w:rsid w:val="00C34E20"/>
    <w:rsid w:val="00C41399"/>
    <w:rsid w:val="00C64CC7"/>
    <w:rsid w:val="00C91FDE"/>
    <w:rsid w:val="00C97176"/>
    <w:rsid w:val="00CE0B62"/>
    <w:rsid w:val="00D0440B"/>
    <w:rsid w:val="00D40D81"/>
    <w:rsid w:val="00DC30EC"/>
    <w:rsid w:val="00DD0724"/>
    <w:rsid w:val="00DE183C"/>
    <w:rsid w:val="00DE1FED"/>
    <w:rsid w:val="00E066CF"/>
    <w:rsid w:val="00E0700A"/>
    <w:rsid w:val="00E103FF"/>
    <w:rsid w:val="00E3109A"/>
    <w:rsid w:val="00E42414"/>
    <w:rsid w:val="00E50248"/>
    <w:rsid w:val="00E93923"/>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D250C-563B-4A55-9BFD-A54A581E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13196</Words>
  <Characters>75223</Characters>
  <Application>Microsoft Office Word</Application>
  <DocSecurity>0</DocSecurity>
  <Lines>626</Lines>
  <Paragraphs>176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2021-05-14T06:48:00Z</dcterms:modified>
</cp:coreProperties>
</file>